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1E" w:rsidRDefault="00B40E1E" w:rsidP="00B40E1E">
      <w:pPr>
        <w:spacing w:line="360" w:lineRule="auto"/>
        <w:ind w:right="57"/>
        <w:rPr>
          <w:rFonts w:ascii="Arial" w:hAnsi="Arial" w:cs="Arial"/>
          <w:sz w:val="20"/>
          <w:szCs w:val="20"/>
        </w:rPr>
      </w:pPr>
      <w:r w:rsidRPr="00DC0B87">
        <w:rPr>
          <w:rFonts w:ascii="Arial" w:hAnsi="Arial" w:cs="Arial"/>
          <w:noProof/>
          <w:sz w:val="24"/>
          <w:szCs w:val="24"/>
          <w:lang w:eastAsia="es-ES"/>
        </w:rPr>
        <w:drawing>
          <wp:anchor distT="0" distB="0" distL="114300" distR="114300" simplePos="0" relativeHeight="251659264" behindDoc="0" locked="0" layoutInCell="1" allowOverlap="1">
            <wp:simplePos x="0" y="0"/>
            <wp:positionH relativeFrom="column">
              <wp:posOffset>127635</wp:posOffset>
            </wp:positionH>
            <wp:positionV relativeFrom="paragraph">
              <wp:posOffset>161290</wp:posOffset>
            </wp:positionV>
            <wp:extent cx="600075" cy="923925"/>
            <wp:effectExtent l="0" t="0" r="9525" b="9525"/>
            <wp:wrapSquare wrapText="bothSides"/>
            <wp:docPr id="4" name="Imagen 4" descr="C:\Users\JorgeAmaya\Documents\MAESTRÍA EN HISTORIA 2015\LOGOTIPIA\LOGO U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eAmaya\Documents\MAESTRÍA EN HISTORIA 2015\LOGOTIPIA\LOGO UNA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w="9525">
                      <a:noFill/>
                      <a:miter lim="800000"/>
                      <a:headEnd/>
                      <a:tailEnd/>
                    </a:ln>
                  </pic:spPr>
                </pic:pic>
              </a:graphicData>
            </a:graphic>
          </wp:anchor>
        </w:drawing>
      </w:r>
      <w:r w:rsidRPr="00DC0B87">
        <w:rPr>
          <w:rFonts w:ascii="Arial" w:hAnsi="Arial" w:cs="Arial"/>
          <w:noProof/>
          <w:sz w:val="24"/>
          <w:szCs w:val="24"/>
          <w:lang w:eastAsia="es-ES"/>
        </w:rPr>
        <w:drawing>
          <wp:anchor distT="0" distB="0" distL="114300" distR="114300" simplePos="0" relativeHeight="251660288" behindDoc="0" locked="0" layoutInCell="1" allowOverlap="1">
            <wp:simplePos x="0" y="0"/>
            <wp:positionH relativeFrom="column">
              <wp:posOffset>4236720</wp:posOffset>
            </wp:positionH>
            <wp:positionV relativeFrom="paragraph">
              <wp:posOffset>160655</wp:posOffset>
            </wp:positionV>
            <wp:extent cx="1057275" cy="1047750"/>
            <wp:effectExtent l="0" t="0" r="9525" b="0"/>
            <wp:wrapSquare wrapText="bothSides"/>
            <wp:docPr id="1" name="Imagen 1" descr="C:\Users\JorgeAmaya\Documents\MAESTRÍA EN HISTORIA 2015\LOGO NUEVO 2016\LOGOS MAESTRIA EN HISTOR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maya\Documents\MAESTRÍA EN HISTORIA 2015\LOGO NUEVO 2016\LOGOS MAESTRIA EN HISTORIA-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w="9525">
                      <a:noFill/>
                      <a:miter lim="800000"/>
                      <a:headEnd/>
                      <a:tailEnd/>
                    </a:ln>
                  </pic:spPr>
                </pic:pic>
              </a:graphicData>
            </a:graphic>
          </wp:anchor>
        </w:drawing>
      </w:r>
      <w:r w:rsidRPr="00DC0B87">
        <w:rPr>
          <w:rFonts w:ascii="Arial" w:hAnsi="Arial" w:cs="Arial"/>
          <w:noProof/>
          <w:sz w:val="24"/>
          <w:szCs w:val="24"/>
          <w:lang w:eastAsia="es-ES"/>
        </w:rPr>
        <w:drawing>
          <wp:anchor distT="0" distB="0" distL="114300" distR="114300" simplePos="0" relativeHeight="251661312" behindDoc="0" locked="0" layoutInCell="1" allowOverlap="1">
            <wp:simplePos x="0" y="0"/>
            <wp:positionH relativeFrom="column">
              <wp:posOffset>2186940</wp:posOffset>
            </wp:positionH>
            <wp:positionV relativeFrom="paragraph">
              <wp:posOffset>246380</wp:posOffset>
            </wp:positionV>
            <wp:extent cx="609600" cy="923925"/>
            <wp:effectExtent l="0" t="0" r="0" b="9525"/>
            <wp:wrapSquare wrapText="bothSides"/>
            <wp:docPr id="6" name="Imagen 6" descr="C:\Users\JorgeAmaya\Documents\MAESTRÍA EN HISTORIA 2015\LOGOTIPIA\LOGO FACUL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geAmaya\Documents\MAESTRÍA EN HISTORIA 2015\LOGOTIPIA\LOGO FACULT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923925"/>
                    </a:xfrm>
                    <a:prstGeom prst="rect">
                      <a:avLst/>
                    </a:prstGeom>
                    <a:noFill/>
                    <a:ln w="9525">
                      <a:noFill/>
                      <a:miter lim="800000"/>
                      <a:headEnd/>
                      <a:tailEnd/>
                    </a:ln>
                  </pic:spPr>
                </pic:pic>
              </a:graphicData>
            </a:graphic>
          </wp:anchor>
        </w:drawing>
      </w:r>
    </w:p>
    <w:p w:rsidR="00B40E1E" w:rsidRDefault="00B40E1E" w:rsidP="00B40E1E">
      <w:pPr>
        <w:spacing w:line="360" w:lineRule="auto"/>
        <w:ind w:left="57" w:right="57"/>
        <w:rPr>
          <w:rFonts w:ascii="Arial" w:hAnsi="Arial" w:cs="Arial"/>
          <w:noProof/>
          <w:sz w:val="24"/>
          <w:szCs w:val="24"/>
          <w:lang w:eastAsia="es-ES"/>
        </w:rPr>
      </w:pPr>
    </w:p>
    <w:p w:rsidR="00B40E1E" w:rsidRPr="00DC0B87" w:rsidRDefault="00B40E1E" w:rsidP="00B40E1E">
      <w:pPr>
        <w:spacing w:line="360" w:lineRule="auto"/>
        <w:ind w:right="57"/>
        <w:rPr>
          <w:rFonts w:ascii="Arial" w:hAnsi="Arial" w:cs="Arial"/>
          <w:sz w:val="24"/>
          <w:szCs w:val="24"/>
        </w:rPr>
      </w:pPr>
    </w:p>
    <w:p w:rsidR="00B40E1E" w:rsidRDefault="00B40E1E" w:rsidP="00B40E1E">
      <w:pPr>
        <w:spacing w:line="360" w:lineRule="auto"/>
        <w:jc w:val="center"/>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rPr>
        <w:t>UNIVERSIDAD NACIONAL AUTÓNOMA DE HONDURAS (UNAH)</w:t>
      </w:r>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rPr>
        <w:t>FACULTAD DE CIENCIAS SOCIALES</w:t>
      </w:r>
      <w:bookmarkStart w:id="0" w:name="_GoBack"/>
      <w:bookmarkEnd w:id="0"/>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rPr>
        <w:t>ESCUELA DE HISTORIA</w:t>
      </w:r>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rPr>
        <w:t>MAESTRÍA EN HISTORIA SOCIAL Y CULTURAL</w:t>
      </w: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u w:val="single"/>
        </w:rPr>
        <w:t>TEMA.</w:t>
      </w:r>
      <w:r w:rsidRPr="006D575F">
        <w:rPr>
          <w:rFonts w:ascii="Arial" w:hAnsi="Arial" w:cs="Arial"/>
          <w:b/>
          <w:sz w:val="24"/>
          <w:szCs w:val="24"/>
        </w:rPr>
        <w:t xml:space="preserve">   “Secularización de las órdenes</w:t>
      </w:r>
      <w:r w:rsidR="00B44695" w:rsidRPr="006D575F">
        <w:rPr>
          <w:rFonts w:ascii="Arial" w:hAnsi="Arial" w:cs="Arial"/>
          <w:b/>
          <w:sz w:val="24"/>
          <w:szCs w:val="24"/>
        </w:rPr>
        <w:t xml:space="preserve"> religiosas</w:t>
      </w:r>
      <w:r w:rsidRPr="006D575F">
        <w:rPr>
          <w:rFonts w:ascii="Arial" w:hAnsi="Arial" w:cs="Arial"/>
          <w:b/>
          <w:sz w:val="24"/>
          <w:szCs w:val="24"/>
        </w:rPr>
        <w:t>1753-1810”</w:t>
      </w:r>
    </w:p>
    <w:p w:rsidR="00CD02E2" w:rsidRPr="006D575F" w:rsidRDefault="00CD02E2" w:rsidP="007A6FDB">
      <w:pPr>
        <w:spacing w:line="360" w:lineRule="auto"/>
        <w:jc w:val="both"/>
        <w:rPr>
          <w:rFonts w:ascii="Arial" w:hAnsi="Arial" w:cs="Arial"/>
          <w:b/>
          <w:sz w:val="24"/>
          <w:szCs w:val="24"/>
        </w:rPr>
      </w:pPr>
      <w:r w:rsidRPr="006D575F">
        <w:rPr>
          <w:rFonts w:ascii="Arial" w:hAnsi="Arial" w:cs="Arial"/>
          <w:b/>
          <w:sz w:val="24"/>
          <w:szCs w:val="24"/>
        </w:rPr>
        <w:t>Presentada en: I congreso de Historia de Honduras</w:t>
      </w:r>
    </w:p>
    <w:p w:rsidR="006C6E41" w:rsidRPr="006D575F" w:rsidRDefault="006C6E41" w:rsidP="007A6FDB">
      <w:pPr>
        <w:spacing w:line="360" w:lineRule="auto"/>
        <w:jc w:val="both"/>
        <w:rPr>
          <w:rFonts w:ascii="Arial" w:hAnsi="Arial" w:cs="Arial"/>
          <w:b/>
          <w:sz w:val="24"/>
          <w:szCs w:val="24"/>
        </w:rPr>
      </w:pPr>
      <w:r w:rsidRPr="006D575F">
        <w:rPr>
          <w:rFonts w:ascii="Arial" w:hAnsi="Arial" w:cs="Arial"/>
          <w:b/>
          <w:sz w:val="24"/>
          <w:szCs w:val="24"/>
        </w:rPr>
        <w:t>MESA DE HISTORIA COLONIAL</w:t>
      </w: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r w:rsidRPr="006D575F">
        <w:rPr>
          <w:rFonts w:ascii="Arial" w:hAnsi="Arial" w:cs="Arial"/>
          <w:b/>
          <w:sz w:val="24"/>
          <w:szCs w:val="24"/>
        </w:rPr>
        <w:t>AUTOR: Mirian Leavel Fernández Sagastume</w:t>
      </w: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p>
    <w:p w:rsidR="00B40E1E" w:rsidRPr="006D575F" w:rsidRDefault="000609F9" w:rsidP="007A6FDB">
      <w:pPr>
        <w:spacing w:line="360" w:lineRule="auto"/>
        <w:jc w:val="both"/>
        <w:rPr>
          <w:rFonts w:ascii="Arial" w:hAnsi="Arial" w:cs="Arial"/>
          <w:b/>
          <w:sz w:val="24"/>
          <w:szCs w:val="24"/>
        </w:rPr>
      </w:pPr>
      <w:r w:rsidRPr="006D575F">
        <w:rPr>
          <w:rFonts w:ascii="Arial" w:hAnsi="Arial" w:cs="Arial"/>
          <w:b/>
          <w:sz w:val="24"/>
          <w:szCs w:val="24"/>
        </w:rPr>
        <w:t xml:space="preserve">Tegucigalpa, octubre </w:t>
      </w:r>
      <w:r w:rsidR="00B40E1E" w:rsidRPr="006D575F">
        <w:rPr>
          <w:rFonts w:ascii="Arial" w:hAnsi="Arial" w:cs="Arial"/>
          <w:b/>
          <w:sz w:val="24"/>
          <w:szCs w:val="24"/>
        </w:rPr>
        <w:t>del 2017</w:t>
      </w: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b/>
          <w:sz w:val="24"/>
          <w:szCs w:val="24"/>
        </w:rPr>
      </w:pPr>
    </w:p>
    <w:p w:rsidR="00B40E1E" w:rsidRPr="006D575F" w:rsidRDefault="00B40E1E" w:rsidP="007A6FDB">
      <w:pPr>
        <w:spacing w:line="360" w:lineRule="auto"/>
        <w:jc w:val="both"/>
        <w:rPr>
          <w:rFonts w:ascii="Arial" w:hAnsi="Arial" w:cs="Arial"/>
          <w:sz w:val="24"/>
          <w:szCs w:val="24"/>
          <w:u w:val="single"/>
        </w:rPr>
      </w:pPr>
    </w:p>
    <w:p w:rsidR="00C62739" w:rsidRPr="006D575F" w:rsidRDefault="00C62739" w:rsidP="007A6FDB">
      <w:pPr>
        <w:shd w:val="clear" w:color="auto" w:fill="FFFFFF"/>
        <w:spacing w:after="0" w:line="240" w:lineRule="auto"/>
        <w:jc w:val="both"/>
        <w:rPr>
          <w:rFonts w:ascii="Arial" w:eastAsia="Times New Roman" w:hAnsi="Arial" w:cs="Arial"/>
          <w:b/>
          <w:color w:val="000000"/>
          <w:sz w:val="24"/>
          <w:szCs w:val="24"/>
          <w:lang w:eastAsia="es-ES"/>
        </w:rPr>
      </w:pPr>
      <w:r w:rsidRPr="006D575F">
        <w:rPr>
          <w:rFonts w:ascii="Arial" w:eastAsia="Times New Roman" w:hAnsi="Arial" w:cs="Arial"/>
          <w:b/>
          <w:color w:val="000000"/>
          <w:sz w:val="24"/>
          <w:szCs w:val="24"/>
          <w:lang w:eastAsia="es-ES"/>
        </w:rPr>
        <w:lastRenderedPageBreak/>
        <w:t xml:space="preserve">Resumen: </w:t>
      </w:r>
    </w:p>
    <w:p w:rsidR="00C62739" w:rsidRPr="006D575F" w:rsidRDefault="00C62739" w:rsidP="007A6FDB">
      <w:pPr>
        <w:shd w:val="clear" w:color="auto" w:fill="FFFFFF"/>
        <w:spacing w:after="0" w:line="240" w:lineRule="auto"/>
        <w:jc w:val="both"/>
        <w:rPr>
          <w:rFonts w:ascii="Arial" w:eastAsia="Times New Roman" w:hAnsi="Arial" w:cs="Arial"/>
          <w:color w:val="000000"/>
          <w:sz w:val="24"/>
          <w:szCs w:val="24"/>
          <w:lang w:eastAsia="es-ES"/>
        </w:rPr>
      </w:pPr>
      <w:r w:rsidRPr="006D575F">
        <w:rPr>
          <w:rFonts w:ascii="Arial" w:eastAsia="Times New Roman" w:hAnsi="Arial" w:cs="Arial"/>
          <w:color w:val="000000"/>
          <w:sz w:val="24"/>
          <w:szCs w:val="24"/>
          <w:lang w:eastAsia="es-ES"/>
        </w:rPr>
        <w:t>La investigación tiene como propósito dar a conocer el proceso mediante   el   cual   las   órdenes   religiosas:   Mercedarios   y Franciscanos fueron afectadas durante el reformismo ilustrado principalmente durante el periodo de Carlos III y Fernando VI s encamina a  romper los  lazos de dependencia con la iglesia  a partir de la firma del Concordato con el vaticano en 1753 dando a la corona la potestad para controlar  las hermandades religiosas, cofradías y capellanías y así acceder a estos recursos que al final van   a   ser   intervenidos   con   la   desamortización   de   los   bienes eclesiásticos  para ser trasladados del clero regular al secular. De esta manera, los cuantiosos bienes (haciendas, minas, tierras hasta esclavos) fortalecerán económicamente al clero diocesano y el   poder   episcopal   en   general.   Se   trata   de   imponerse   como monarquía   y   tener   el   control   de   sus   dominios coloniales reafirmando su poder político, que la iglesia había compartido en el reinado Habsburgo.</w:t>
      </w:r>
    </w:p>
    <w:p w:rsidR="00B40E1E" w:rsidRPr="006D575F" w:rsidRDefault="00B40E1E" w:rsidP="007A6FDB">
      <w:pPr>
        <w:spacing w:line="360" w:lineRule="auto"/>
        <w:jc w:val="both"/>
        <w:rPr>
          <w:rFonts w:ascii="Arial" w:hAnsi="Arial" w:cs="Arial"/>
          <w:sz w:val="24"/>
          <w:szCs w:val="24"/>
          <w:u w:val="single"/>
        </w:rPr>
      </w:pP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u w:val="single"/>
        </w:rPr>
        <w:t>Conceptos</w:t>
      </w:r>
      <w:r w:rsidRPr="006D575F">
        <w:rPr>
          <w:rFonts w:ascii="Arial" w:hAnsi="Arial" w:cs="Arial"/>
          <w:sz w:val="24"/>
          <w:szCs w:val="24"/>
        </w:rPr>
        <w:t xml:space="preserve">: secularización, laicidad, cultura, </w:t>
      </w:r>
      <w:r w:rsidR="00115401">
        <w:rPr>
          <w:rFonts w:ascii="Arial" w:hAnsi="Arial" w:cs="Arial"/>
          <w:sz w:val="24"/>
          <w:szCs w:val="24"/>
        </w:rPr>
        <w:t>curatos,doctrinas,</w:t>
      </w:r>
      <w:r w:rsidRPr="006D575F">
        <w:rPr>
          <w:rFonts w:ascii="Arial" w:hAnsi="Arial" w:cs="Arial"/>
          <w:sz w:val="24"/>
          <w:szCs w:val="24"/>
        </w:rPr>
        <w:t>criollos, ilustración, clero secular y regular</w:t>
      </w:r>
      <w:r w:rsidRPr="006D575F">
        <w:rPr>
          <w:rStyle w:val="Refdenotaalpie"/>
          <w:rFonts w:ascii="Arial" w:hAnsi="Arial" w:cs="Arial"/>
          <w:sz w:val="24"/>
          <w:szCs w:val="24"/>
        </w:rPr>
        <w:footnoteReference w:id="1"/>
      </w:r>
    </w:p>
    <w:p w:rsidR="00B40E1E" w:rsidRPr="006D575F" w:rsidRDefault="00B40E1E" w:rsidP="007A6FDB">
      <w:pPr>
        <w:spacing w:line="360" w:lineRule="auto"/>
        <w:jc w:val="both"/>
        <w:rPr>
          <w:rFonts w:ascii="Arial" w:hAnsi="Arial" w:cs="Arial"/>
          <w:b/>
          <w:color w:val="FF0000"/>
          <w:sz w:val="24"/>
          <w:szCs w:val="24"/>
          <w:u w:val="single"/>
        </w:rPr>
      </w:pPr>
      <w:r w:rsidRPr="006D575F">
        <w:rPr>
          <w:rFonts w:ascii="Arial" w:hAnsi="Arial" w:cs="Arial"/>
          <w:b/>
          <w:sz w:val="24"/>
          <w:szCs w:val="24"/>
          <w:u w:val="single"/>
        </w:rPr>
        <w:t xml:space="preserve"> Iglesia en Honduras: Historiografía</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Desde inicios del periodo colonial la iglesia desempeño un papel importante en todos los aspectos: administrativo, económico y sobre todo ideológico. El objetivo fundamental fue la conversión de los indígenas a la nueva fe cristiana es por eso que las encomiendas debían tener curas doctrineros, aunque para ello el número de frailes fue escaso, tal como lo manifiestan las numerosas </w:t>
      </w:r>
      <w:r w:rsidR="00FB31DA" w:rsidRPr="006D575F">
        <w:rPr>
          <w:rFonts w:ascii="Arial" w:hAnsi="Arial" w:cs="Arial"/>
          <w:sz w:val="24"/>
          <w:szCs w:val="24"/>
        </w:rPr>
        <w:t xml:space="preserve"> cartas </w:t>
      </w:r>
      <w:r w:rsidRPr="006D575F">
        <w:rPr>
          <w:rFonts w:ascii="Arial" w:hAnsi="Arial" w:cs="Arial"/>
          <w:sz w:val="24"/>
          <w:szCs w:val="24"/>
        </w:rPr>
        <w:t>del obispo Cristóbal de Pedraza</w:t>
      </w:r>
      <w:r w:rsidRPr="006D575F">
        <w:rPr>
          <w:rStyle w:val="Refdenotaalpie"/>
          <w:rFonts w:ascii="Arial" w:hAnsi="Arial" w:cs="Arial"/>
          <w:sz w:val="24"/>
          <w:szCs w:val="24"/>
        </w:rPr>
        <w:footnoteReference w:id="2"/>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Posteriormente llegan las órdenes religiosas: Mercedarios y franciscanos quienes mantendrían su presencia hegemónica  en la provincia edificando sus casas conventuales e iglesias. Para 1574 los frailes franciscanos ya tienen establecidos los primeros conventos en San Andrés de Nacaome, Nuestra Señora de las Nieves en Amapala,  Convento San Diego en Tegucigalpa y el Convento San Antonio en Comayagua, que permitirá la creación de la custodia de Santa Catarina Mártir. Por su parte los mercedarios para ese mismo siglo ya se encuentran ubicados en Trujillo, en el valle de Tencoa, Gracias y Comayagua posteriormente se ubica en Santa Lucia y luego se trasladan al Real de Minas de Tegucigalpa. A los largo del periodo colonial existe ya una organización </w:t>
      </w:r>
      <w:r w:rsidRPr="006D575F">
        <w:rPr>
          <w:rFonts w:ascii="Arial" w:hAnsi="Arial" w:cs="Arial"/>
          <w:sz w:val="24"/>
          <w:szCs w:val="24"/>
        </w:rPr>
        <w:lastRenderedPageBreak/>
        <w:t>eclesiástica donde se manifiesta la jurisdicción y distribución de estas dos órdenes  Franciscanos en los que hoy corresponde al sur, centro y oriente de Honduras, Mercedarios en el sur, centro y occidente. Hasta el momento no se tiene comprobado la presencia de conventos e iglesia</w:t>
      </w:r>
      <w:r w:rsidR="002849C9" w:rsidRPr="006D575F">
        <w:rPr>
          <w:rFonts w:ascii="Arial" w:hAnsi="Arial" w:cs="Arial"/>
          <w:sz w:val="24"/>
          <w:szCs w:val="24"/>
        </w:rPr>
        <w:t>s</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Franciscanas en el occidente de Honduras pero si esta está presente en la iconografía ejemplo en la fachada de la iglesia de Colohete.</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El trabajo misional y doctrinal  inicialmente entre los indígenas y posteriormente mestizos y criollos. Fue constante preocupación de los obispos y las órdenes religiosas que los indios aprendieran la nueva fe cristiana por esa razón se crean escuelas para que  aprendan la doctrina católica. A mediados  del siglo XVI  las ordenanzas reales mandan  que los indios aprendan el castellano, pero ante los pocos resultados los sacerdotes se verán obligados a aprender las lenguas indígenas. Estas escuelas inicialmente eran para varones,  principalmente para los hijos de los caciques. Muy tardíamente en el siglo XVIII se insistió por parte de los prelados diocesanos que se establecieran escuelas en las casas parroquiales de los pueblos de indios “en las que funcionaron se impartió el catecismo como materia única “</w:t>
      </w:r>
      <w:r w:rsidRPr="006D575F">
        <w:rPr>
          <w:rStyle w:val="Refdenotaalpie"/>
          <w:rFonts w:ascii="Arial" w:hAnsi="Arial" w:cs="Arial"/>
          <w:sz w:val="24"/>
          <w:szCs w:val="24"/>
        </w:rPr>
        <w:footnoteReference w:id="3"/>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Para el tema de las Reformas de los Borbones </w:t>
      </w:r>
      <w:hyperlink r:id="rId11" w:history="1">
        <w:r w:rsidRPr="006D575F">
          <w:rPr>
            <w:rStyle w:val="Hipervnculo"/>
            <w:rFonts w:ascii="Arial" w:hAnsi="Arial" w:cs="Arial"/>
            <w:sz w:val="24"/>
            <w:szCs w:val="24"/>
          </w:rPr>
          <w:t>Government and Society in Central America, 1680–1840.</w:t>
        </w:r>
      </w:hyperlink>
      <w:r w:rsidRPr="006D575F">
        <w:rPr>
          <w:rFonts w:ascii="Arial" w:hAnsi="Arial" w:cs="Arial"/>
          <w:sz w:val="24"/>
          <w:szCs w:val="24"/>
        </w:rPr>
        <w:t xml:space="preserve">Wortman compara el desarrollo de los sistemas de gobierno de los Habsburgos y los borbones y las consecuencias que tuvieron para la economía y la sociedad de la Centroamérica española </w:t>
      </w:r>
      <w:r w:rsidRPr="006D575F">
        <w:rPr>
          <w:rStyle w:val="Refdenotaalpie"/>
          <w:rFonts w:ascii="Arial" w:hAnsi="Arial" w:cs="Arial"/>
          <w:sz w:val="24"/>
          <w:szCs w:val="24"/>
        </w:rPr>
        <w:footnoteReference w:id="4"/>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Las reformas Borbonas se plantearon el control de la iglesia que incluyo también las propiedades, en la década de los años cuarenta del Siglo XVIII la corona ordeno “que todas las órdenes religiosas-masculinas y femeninas-presentaran informe sobre el estado material de cada una de ellas así como los c</w:t>
      </w:r>
      <w:r w:rsidR="006559D0">
        <w:rPr>
          <w:rFonts w:ascii="Arial" w:hAnsi="Arial" w:cs="Arial"/>
          <w:sz w:val="24"/>
          <w:szCs w:val="24"/>
        </w:rPr>
        <w:t xml:space="preserve">apitales que poseían” </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lastRenderedPageBreak/>
        <w:t xml:space="preserve"> Estas a través de las cofradías participaban en la distribución de la riqueza   con unos 200mil pesos colocados en préstamos y un poco más de 50 mil cabezas de ganado.</w:t>
      </w:r>
      <w:r w:rsidRPr="006D575F">
        <w:rPr>
          <w:rStyle w:val="Refdenotaalpie"/>
          <w:rFonts w:ascii="Arial" w:hAnsi="Arial" w:cs="Arial"/>
          <w:sz w:val="24"/>
          <w:szCs w:val="24"/>
        </w:rPr>
        <w:footnoteReference w:id="5"/>
      </w:r>
    </w:p>
    <w:p w:rsidR="00B40E1E" w:rsidRPr="006D575F" w:rsidRDefault="00B40E1E" w:rsidP="007A6FDB">
      <w:pPr>
        <w:spacing w:line="360" w:lineRule="auto"/>
        <w:jc w:val="both"/>
        <w:rPr>
          <w:rFonts w:ascii="Arial" w:hAnsi="Arial" w:cs="Arial"/>
          <w:color w:val="0000FF"/>
          <w:sz w:val="24"/>
          <w:szCs w:val="24"/>
          <w:u w:val="single"/>
        </w:rPr>
      </w:pPr>
      <w:r w:rsidRPr="006D575F">
        <w:rPr>
          <w:rFonts w:ascii="Arial" w:hAnsi="Arial" w:cs="Arial"/>
          <w:sz w:val="24"/>
          <w:szCs w:val="24"/>
        </w:rPr>
        <w:t>ChristopheBelaubre</w:t>
      </w:r>
      <w:hyperlink r:id="rId12" w:history="1">
        <w:r w:rsidRPr="006D575F">
          <w:rPr>
            <w:rStyle w:val="Hipervnculo"/>
            <w:rFonts w:ascii="Arial" w:hAnsi="Arial" w:cs="Arial"/>
            <w:sz w:val="24"/>
            <w:szCs w:val="24"/>
          </w:rPr>
          <w:t>Del capellán al arzobispo: acercamiento a la terminología de la jerarquía y de las funciones eclesiásticas en la diócesis de Guatemala     (Siglo XVIII)</w:t>
        </w:r>
      </w:hyperlink>
      <w:r w:rsidRPr="006D575F">
        <w:rPr>
          <w:rFonts w:ascii="Arial" w:hAnsi="Arial" w:cs="Arial"/>
          <w:sz w:val="24"/>
          <w:szCs w:val="24"/>
        </w:rPr>
        <w:t xml:space="preserve"> En este ensayo se aborda el problema de la naturaleza de las taxonomías en uso para estudiar el clero y su significado para los que las construyen y para los que las usan durante el siglo XVIII </w:t>
      </w:r>
      <w:r w:rsidRPr="006D575F">
        <w:rPr>
          <w:rStyle w:val="Refdenotaalpie"/>
          <w:rFonts w:ascii="Arial" w:hAnsi="Arial" w:cs="Arial"/>
          <w:b/>
          <w:sz w:val="24"/>
          <w:szCs w:val="24"/>
        </w:rPr>
        <w:footnoteReference w:id="6"/>
      </w:r>
      <w:r w:rsidRPr="006D575F">
        <w:rPr>
          <w:rFonts w:ascii="Arial" w:hAnsi="Arial" w:cs="Arial"/>
          <w:sz w:val="24"/>
          <w:szCs w:val="24"/>
        </w:rPr>
        <w:t>asi como los principios de diferenciación social.</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El tema acerca  del papel del papel de la iglesia en Centro América y particularmente en nuestro país durante la colonia  ha sido abordado por diversos autores, desde las crónicas del siglo XVI donde destacan el trabajo de  los curas en los primeros años de la conquista hasta la bibliografía de diversos autores actuales.  Un inicio de búsqueda debe ser </w:t>
      </w:r>
      <w:hyperlink r:id="rId13" w:history="1">
        <w:r w:rsidRPr="006D575F">
          <w:rPr>
            <w:rStyle w:val="Hipervnculo"/>
            <w:rFonts w:ascii="Arial" w:hAnsi="Arial" w:cs="Arial"/>
            <w:sz w:val="24"/>
            <w:szCs w:val="24"/>
          </w:rPr>
          <w:t>Historia e historiografía de la educación en Centroamérica.</w:t>
        </w:r>
      </w:hyperlink>
      <w:r w:rsidRPr="006D575F">
        <w:rPr>
          <w:rStyle w:val="Refdenotaalpie"/>
          <w:rFonts w:ascii="Arial" w:hAnsi="Arial" w:cs="Arial"/>
          <w:sz w:val="24"/>
          <w:szCs w:val="24"/>
          <w:u w:val="single"/>
        </w:rPr>
        <w:footnoteReference w:id="7"/>
      </w:r>
      <w:r w:rsidRPr="006D575F">
        <w:rPr>
          <w:rFonts w:ascii="Arial" w:hAnsi="Arial" w:cs="Arial"/>
          <w:sz w:val="24"/>
          <w:szCs w:val="24"/>
        </w:rPr>
        <w:t xml:space="preserve"> .Importante es el estudio de  José Cecilio del Valle en su Memoria de la educación en Honduras</w:t>
      </w:r>
      <w:r w:rsidRPr="006D575F">
        <w:rPr>
          <w:rStyle w:val="Refdenotaalpie"/>
          <w:rFonts w:ascii="Arial" w:hAnsi="Arial" w:cs="Arial"/>
          <w:sz w:val="24"/>
          <w:szCs w:val="24"/>
        </w:rPr>
        <w:footnoteReference w:id="8"/>
      </w:r>
      <w:r w:rsidRPr="006D575F">
        <w:rPr>
          <w:rFonts w:ascii="Arial" w:hAnsi="Arial" w:cs="Arial"/>
          <w:sz w:val="24"/>
          <w:szCs w:val="24"/>
        </w:rPr>
        <w:t>, asimismo el trabajo de Rafael Bardales con apuntes importantes sobre los antecedentes de la educación</w:t>
      </w:r>
      <w:r w:rsidRPr="006D575F">
        <w:rPr>
          <w:rStyle w:val="Refdenotaalpie"/>
          <w:rFonts w:ascii="Arial" w:hAnsi="Arial" w:cs="Arial"/>
          <w:sz w:val="24"/>
          <w:szCs w:val="24"/>
        </w:rPr>
        <w:footnoteReference w:id="9"/>
      </w:r>
      <w:r w:rsidRPr="006D575F">
        <w:rPr>
          <w:rFonts w:ascii="Arial" w:hAnsi="Arial" w:cs="Arial"/>
          <w:sz w:val="24"/>
          <w:szCs w:val="24"/>
        </w:rPr>
        <w:t xml:space="preserve"> como es el caso del Mario Felipe Martínez Castillo  en libros referentes al tema de historia de la iglesia en Honduras   es uno de los primeros historiadores en abordar el tema  historia de la educación en Honduras  con un ensayo acerca de la fundación del Colegio Tridentino de Comayagua  en su apéndice adjunta documentos sobre la constitución del Colegio Tridentino y reglamentos internos del mismo .</w:t>
      </w:r>
      <w:r w:rsidRPr="006D575F">
        <w:rPr>
          <w:rStyle w:val="Refdenotaalpie"/>
          <w:rFonts w:ascii="Arial" w:hAnsi="Arial" w:cs="Arial"/>
          <w:sz w:val="24"/>
          <w:szCs w:val="24"/>
        </w:rPr>
        <w:footnoteReference w:id="10"/>
      </w:r>
      <w:r w:rsidRPr="006D575F">
        <w:rPr>
          <w:rFonts w:ascii="Arial" w:hAnsi="Arial" w:cs="Arial"/>
          <w:sz w:val="24"/>
          <w:szCs w:val="24"/>
        </w:rPr>
        <w:t xml:space="preserve">   Otro autor es   Marcos Carias que aunque  no profundiza en el periodo colonial   si brinda más detalles de la iglesia desde 1821 hasta 1975. Por su parte  José María Tojeira profundiza más en las relaciones iglesia-estado y la problemática entre el clero regular y el clero secular. Para el siglo XVIII hace una caracterización social y económica haciendo énfasis en el crecimiento económico de la iglesia proveniente de los fondos de capellanías y cofradías además de las limosnas. Interesante son sus aportes sobre cultura y otras realizaciones de la iglesia principalmente durante el periodo del franciscano  Guadalupe López,</w:t>
      </w:r>
      <w:r w:rsidRPr="006D575F">
        <w:rPr>
          <w:rStyle w:val="Refdenotaalpie"/>
          <w:rFonts w:ascii="Arial" w:hAnsi="Arial" w:cs="Arial"/>
          <w:sz w:val="24"/>
          <w:szCs w:val="24"/>
        </w:rPr>
        <w:footnoteReference w:id="11"/>
      </w:r>
      <w:r w:rsidRPr="006D575F">
        <w:rPr>
          <w:rFonts w:ascii="Arial" w:hAnsi="Arial" w:cs="Arial"/>
          <w:sz w:val="24"/>
          <w:szCs w:val="24"/>
        </w:rPr>
        <w:t xml:space="preserve"> y la preocupación de las elites por tener casas de estudios y los aportes de la iglesia a la cultura popular</w:t>
      </w:r>
      <w:r w:rsidRPr="006D575F">
        <w:rPr>
          <w:rStyle w:val="Refdenotaalpie"/>
          <w:rFonts w:ascii="Arial" w:hAnsi="Arial" w:cs="Arial"/>
          <w:sz w:val="24"/>
          <w:szCs w:val="24"/>
        </w:rPr>
        <w:footnoteReference w:id="12"/>
      </w:r>
      <w:r w:rsidRPr="006D575F">
        <w:rPr>
          <w:rFonts w:ascii="Arial" w:hAnsi="Arial" w:cs="Arial"/>
          <w:sz w:val="24"/>
          <w:szCs w:val="24"/>
        </w:rPr>
        <w:t>. Tema que también es abordado por Leticia Oyuela</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en sus diversos libros que nos permiten introducirnos al estudio de las mentalidades de la época.</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La revista del archivo y Biblioteca nacional es un recurso muy importante porque en ella se publican documentos relativos a la fundación de instituciones educativas por parte del clero  secular y regular.</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Por su parte Evelio Inestroza en su libro La escuela Hondureña en el siglo XIX, tiene un apartado sobre la educación en el periodo colonial, especialmente las escuelas en pueblos de indios a finales del siglo XVIII</w:t>
      </w:r>
      <w:r w:rsidRPr="006D575F">
        <w:rPr>
          <w:rStyle w:val="Refdenotaalpie"/>
          <w:rFonts w:ascii="Arial" w:hAnsi="Arial" w:cs="Arial"/>
          <w:sz w:val="24"/>
          <w:szCs w:val="24"/>
        </w:rPr>
        <w:footnoteReference w:id="13"/>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Rolando Sierra en su libro Fuentes y bibliografía  dividido en tres apartados  libros, materiales mimeografiados e inéditos, revistas, boletines y periódicos y los terceros documentos de la conferencia episcopal de Honduras.</w:t>
      </w:r>
      <w:r w:rsidRPr="006D575F">
        <w:rPr>
          <w:rStyle w:val="Refdenotaalpie"/>
          <w:rFonts w:ascii="Arial" w:hAnsi="Arial" w:cs="Arial"/>
          <w:sz w:val="24"/>
          <w:szCs w:val="24"/>
        </w:rPr>
        <w:footnoteReference w:id="14"/>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 Del mismo autor es el libro iglesia y liberalismo en Honduras en el SXIX  con dos importantes trabajos “Clero y política en Honduras: el padre Francisco Antonio Márquez y el segundo “La reorganización de la iglesia ante el estado Liberal: El Sínodo diocesano de Comayagua de 1890”</w:t>
      </w:r>
      <w:r w:rsidRPr="006D575F">
        <w:rPr>
          <w:rStyle w:val="Refdenotaalpie"/>
          <w:rFonts w:ascii="Arial" w:hAnsi="Arial" w:cs="Arial"/>
          <w:sz w:val="24"/>
          <w:szCs w:val="24"/>
        </w:rPr>
        <w:footnoteReference w:id="15"/>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Importante fuente es la del padre vallejo con datos demográficos sobre cantidad de españoles, indios y esclavos: censos desde 1791 hasta 1889  </w:t>
      </w:r>
      <w:r w:rsidRPr="006D575F">
        <w:rPr>
          <w:rStyle w:val="Refdenotaalpie"/>
          <w:rFonts w:ascii="Arial" w:hAnsi="Arial" w:cs="Arial"/>
          <w:sz w:val="24"/>
          <w:szCs w:val="24"/>
        </w:rPr>
        <w:footnoteReference w:id="16"/>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José Reina Valenzuela por su parte es el autor de dos tomos sobre historia de la iglesia el primer tomo trata sobre los intentos de organización de la iglesia  en el siglo XVI y la llegada de las primeras órdenes religiosas. El segundo tomo gira dos temas básicamente : las misiones en la Taguzgalpa y las actividades de los obispos destacando la ciudad de Comayagua como sede del Obispado, no brinda más detalles sobre los curatos y doctrinas en el norte y occidente de Honduras , muy importantes para comprender la administración y jurisdicción eclesiástica del obispado</w:t>
      </w:r>
      <w:r w:rsidRPr="006D575F">
        <w:rPr>
          <w:rStyle w:val="Refdenotaalpie"/>
          <w:rFonts w:ascii="Arial" w:hAnsi="Arial" w:cs="Arial"/>
          <w:sz w:val="24"/>
          <w:szCs w:val="24"/>
        </w:rPr>
        <w:footnoteReference w:id="17"/>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Víctor Cruz Reyes tiene dos trabajos importantes sobre el tema el primero sobre las escuelas de primeras letras</w:t>
      </w:r>
      <w:r w:rsidRPr="006D575F">
        <w:rPr>
          <w:rStyle w:val="Refdenotaalpie"/>
          <w:rFonts w:ascii="Arial" w:hAnsi="Arial" w:cs="Arial"/>
          <w:sz w:val="24"/>
          <w:szCs w:val="24"/>
        </w:rPr>
        <w:footnoteReference w:id="18"/>
      </w:r>
      <w:r w:rsidRPr="006D575F">
        <w:rPr>
          <w:rFonts w:ascii="Arial" w:hAnsi="Arial" w:cs="Arial"/>
          <w:sz w:val="24"/>
          <w:szCs w:val="24"/>
        </w:rPr>
        <w:t xml:space="preserve"> y el segundo sobre el papel de la mujer en la educación.</w:t>
      </w:r>
      <w:r w:rsidRPr="006D575F">
        <w:rPr>
          <w:rStyle w:val="Refdenotaalpie"/>
          <w:rFonts w:ascii="Arial" w:hAnsi="Arial" w:cs="Arial"/>
          <w:sz w:val="24"/>
          <w:szCs w:val="24"/>
        </w:rPr>
        <w:footnoteReference w:id="19"/>
      </w:r>
    </w:p>
    <w:p w:rsidR="00B40E1E" w:rsidRPr="006D575F" w:rsidRDefault="00B40E1E" w:rsidP="007A6FDB">
      <w:pPr>
        <w:spacing w:line="360" w:lineRule="auto"/>
        <w:jc w:val="both"/>
        <w:rPr>
          <w:rStyle w:val="Hipervnculo"/>
          <w:rFonts w:ascii="Arial" w:hAnsi="Arial" w:cs="Arial"/>
          <w:sz w:val="24"/>
          <w:szCs w:val="24"/>
        </w:rPr>
      </w:pPr>
      <w:r w:rsidRPr="006D575F">
        <w:rPr>
          <w:rFonts w:ascii="Arial" w:hAnsi="Arial" w:cs="Arial"/>
          <w:sz w:val="24"/>
          <w:szCs w:val="24"/>
        </w:rPr>
        <w:t>Con respecto al contexto centroamericano el tema de la secularización ha sido abordado en el contexto general del Reino de Guatemala en investigaciones realizadas sobre todo por autores extranjeros como Belaudre en La educación en el Reino de Guatemala: primeros pasos hacia una secularización de la enseñanza (1759-1821).</w:t>
      </w:r>
      <w:r w:rsidRPr="006D575F">
        <w:rPr>
          <w:rStyle w:val="Refdenotaalpie"/>
          <w:rFonts w:ascii="Arial" w:hAnsi="Arial" w:cs="Arial"/>
          <w:sz w:val="24"/>
          <w:szCs w:val="24"/>
        </w:rPr>
        <w:footnoteReference w:id="20"/>
      </w:r>
      <w:r w:rsidRPr="006D575F">
        <w:rPr>
          <w:rFonts w:ascii="Arial" w:hAnsi="Arial" w:cs="Arial"/>
          <w:sz w:val="24"/>
          <w:szCs w:val="24"/>
        </w:rPr>
        <w:t xml:space="preserve"> En El Salvador Valdez Valle ha trabajado el tema en el Siglo XIX, también en el 2011 se presentaron importantes trabajos en el III simposio Internacional de Masonería, revolución y secularización</w:t>
      </w:r>
      <w:r w:rsidR="00684BE7">
        <w:rPr>
          <w:rFonts w:ascii="Arial" w:hAnsi="Arial" w:cs="Arial"/>
          <w:sz w:val="24"/>
          <w:szCs w:val="24"/>
        </w:rPr>
        <w:t>.</w:t>
      </w:r>
      <w:r w:rsidRPr="006D575F">
        <w:rPr>
          <w:rFonts w:ascii="Arial" w:hAnsi="Arial" w:cs="Arial"/>
          <w:sz w:val="24"/>
          <w:szCs w:val="24"/>
        </w:rPr>
        <w:t>.</w:t>
      </w:r>
    </w:p>
    <w:p w:rsidR="00B40E1E" w:rsidRPr="006D575F" w:rsidRDefault="00B40E1E" w:rsidP="007A6FDB">
      <w:pPr>
        <w:spacing w:line="360" w:lineRule="auto"/>
        <w:jc w:val="both"/>
        <w:rPr>
          <w:rFonts w:ascii="Arial" w:hAnsi="Arial" w:cs="Arial"/>
          <w:color w:val="0000FF"/>
          <w:sz w:val="24"/>
          <w:szCs w:val="24"/>
          <w:u w:val="single"/>
        </w:rPr>
      </w:pPr>
    </w:p>
    <w:p w:rsidR="00B40E1E" w:rsidRPr="006D575F" w:rsidRDefault="00B40E1E" w:rsidP="007A6FDB">
      <w:pPr>
        <w:spacing w:line="360" w:lineRule="auto"/>
        <w:jc w:val="both"/>
        <w:rPr>
          <w:rFonts w:ascii="Arial" w:hAnsi="Arial" w:cs="Arial"/>
          <w:b/>
          <w:sz w:val="24"/>
          <w:szCs w:val="24"/>
          <w:u w:val="single"/>
        </w:rPr>
      </w:pPr>
      <w:r w:rsidRPr="006D575F">
        <w:rPr>
          <w:rFonts w:ascii="Arial" w:hAnsi="Arial" w:cs="Arial"/>
          <w:b/>
          <w:sz w:val="24"/>
          <w:szCs w:val="24"/>
          <w:u w:val="single"/>
        </w:rPr>
        <w:t>Contexto histórico Siglo XVIII</w:t>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 xml:space="preserve"> El siglo XVIII es un siglo denominado como el siglo de las luces en el aspecto académico, contrario a la decadencia , pestes y hambrunas del siglo anterior, el descubrimiento de nuevas vetas mineras en la Alcaldía mayor de Tegucigalpa hace que se desarrolle un comercio dinámico, </w:t>
      </w:r>
    </w:p>
    <w:p w:rsidR="00B40E1E" w:rsidRPr="006D575F" w:rsidRDefault="00B40E1E" w:rsidP="007A6FDB">
      <w:pPr>
        <w:pStyle w:val="Prrafodelista"/>
        <w:spacing w:line="360" w:lineRule="auto"/>
        <w:jc w:val="both"/>
        <w:rPr>
          <w:rFonts w:ascii="Arial" w:hAnsi="Arial" w:cs="Arial"/>
          <w:sz w:val="24"/>
          <w:szCs w:val="24"/>
        </w:rPr>
      </w:pPr>
      <w:r w:rsidRPr="006D575F">
        <w:rPr>
          <w:rFonts w:ascii="Arial" w:hAnsi="Arial" w:cs="Arial"/>
          <w:sz w:val="24"/>
          <w:szCs w:val="24"/>
        </w:rPr>
        <w:t>En términos generales la sociedad que inaugura el nuevo siglo borbónico era marcadamente rural y mestiza con predominio de mulatos, pardos y mestizos</w:t>
      </w:r>
      <w:r w:rsidRPr="006D575F">
        <w:rPr>
          <w:rStyle w:val="Refdenotaalpie"/>
          <w:rFonts w:ascii="Arial" w:hAnsi="Arial" w:cs="Arial"/>
          <w:sz w:val="24"/>
          <w:szCs w:val="24"/>
        </w:rPr>
        <w:footnoteReference w:id="21"/>
      </w:r>
      <w:r w:rsidRPr="006D575F">
        <w:rPr>
          <w:rFonts w:ascii="Arial" w:hAnsi="Arial" w:cs="Arial"/>
          <w:sz w:val="24"/>
          <w:szCs w:val="24"/>
        </w:rPr>
        <w:t xml:space="preserve"> Los borbones encaminan sus medidas al aprovechamientos de los abundantes recursos de América , la centralización del poder a través de la creación de las intendencias, construcción de fortalezas en el </w:t>
      </w:r>
      <w:r w:rsidR="00684BE7" w:rsidRPr="006D575F">
        <w:rPr>
          <w:rFonts w:ascii="Arial" w:hAnsi="Arial" w:cs="Arial"/>
          <w:sz w:val="24"/>
          <w:szCs w:val="24"/>
        </w:rPr>
        <w:t>Caribe</w:t>
      </w:r>
      <w:r w:rsidRPr="006D575F">
        <w:rPr>
          <w:rFonts w:ascii="Arial" w:hAnsi="Arial" w:cs="Arial"/>
          <w:sz w:val="24"/>
          <w:szCs w:val="24"/>
        </w:rPr>
        <w:t xml:space="preserve"> para frenar el contrabando y evitar el ataque de piratas….La educación era liderada por la Universidad San Carlos Borromeo de Guatemala y por supuesto  tenía un fuerte contenido teológico  “podemos también suponer que hubo un esfuerzo colectivo para elevar la cultura en todos los niveles del Reino: difusión de libros y folletos, debates en tertulias sobre el arte de enseñar, fomento de colegios, afrancesamiento de los comportamientos en las diversiones públicas, etc.”</w:t>
      </w:r>
      <w:r w:rsidRPr="006D575F">
        <w:rPr>
          <w:rStyle w:val="Refdenotaalpie"/>
          <w:rFonts w:ascii="Arial" w:hAnsi="Arial" w:cs="Arial"/>
          <w:sz w:val="24"/>
          <w:szCs w:val="24"/>
        </w:rPr>
        <w:footnoteReference w:id="22"/>
      </w:r>
    </w:p>
    <w:p w:rsidR="00B40E1E" w:rsidRPr="006D575F" w:rsidRDefault="00B40E1E" w:rsidP="007A6FDB">
      <w:pPr>
        <w:spacing w:line="360" w:lineRule="auto"/>
        <w:jc w:val="both"/>
        <w:rPr>
          <w:rFonts w:ascii="Arial" w:hAnsi="Arial" w:cs="Arial"/>
          <w:sz w:val="24"/>
          <w:szCs w:val="24"/>
        </w:rPr>
      </w:pPr>
      <w:r w:rsidRPr="006D575F">
        <w:rPr>
          <w:rFonts w:ascii="Arial" w:hAnsi="Arial" w:cs="Arial"/>
          <w:sz w:val="24"/>
          <w:szCs w:val="24"/>
        </w:rPr>
        <w:t>El reformismo ilustrado principalmente durante el periodo de Carlos III y Fernando VI se encamina a romper los lazos de dependencia con la iglesia a partir de la firma del Concordato con el vaticano en 1753 dando a la corono la potestad para controlar  las hermandades religiosas, cofradías y capellanías y así acceder a estos recursos que al final van a ser intervenidos con la desamortización de los bienes eclesiásticos para ser trasladados del clero regular al secular. De esta manera los cuantiosos bienes (haciendas, minas, tierras y hasta esclavos) fortalecerán económicamente al clero diocesano y del</w:t>
      </w:r>
    </w:p>
    <w:p w:rsidR="009B281D" w:rsidRPr="006D575F" w:rsidRDefault="00B40E1E" w:rsidP="00052276">
      <w:pPr>
        <w:spacing w:line="360" w:lineRule="auto"/>
        <w:jc w:val="both"/>
        <w:rPr>
          <w:rFonts w:ascii="Arial" w:hAnsi="Arial" w:cs="Arial"/>
          <w:sz w:val="24"/>
          <w:szCs w:val="24"/>
        </w:rPr>
      </w:pPr>
      <w:r w:rsidRPr="006D575F">
        <w:rPr>
          <w:rFonts w:ascii="Arial" w:hAnsi="Arial" w:cs="Arial"/>
          <w:sz w:val="24"/>
          <w:szCs w:val="24"/>
        </w:rPr>
        <w:t xml:space="preserve">Poder episcopal en general. Se trata de imponerse como monarquía y tener el control de sus dominios coloniales reafirmando su poder político, que la iglesia había compartido en el reinado de los Habsburgo.  Se rompe esta unión y se reorientan las medidas a nuevos modelos y patrones de conductas. </w:t>
      </w:r>
    </w:p>
    <w:p w:rsidR="009B281D" w:rsidRPr="006D575F" w:rsidRDefault="009B281D" w:rsidP="00052276">
      <w:pPr>
        <w:spacing w:line="360" w:lineRule="auto"/>
        <w:jc w:val="both"/>
        <w:rPr>
          <w:rFonts w:ascii="Arial" w:hAnsi="Arial" w:cs="Arial"/>
          <w:u w:val="single"/>
        </w:rPr>
      </w:pPr>
      <w:r w:rsidRPr="006D575F">
        <w:rPr>
          <w:rFonts w:ascii="Arial" w:hAnsi="Arial" w:cs="Arial"/>
          <w:b/>
          <w:u w:val="single"/>
        </w:rPr>
        <w:t xml:space="preserve">ASPECTOS TEORICOS DE </w:t>
      </w:r>
      <w:r w:rsidR="00B44695" w:rsidRPr="006D575F">
        <w:rPr>
          <w:rFonts w:ascii="Arial" w:hAnsi="Arial" w:cs="Arial"/>
          <w:b/>
          <w:u w:val="single"/>
        </w:rPr>
        <w:t>LA SECULARIZACION</w:t>
      </w:r>
      <w:r w:rsidR="00B44695" w:rsidRPr="006D575F">
        <w:rPr>
          <w:rFonts w:ascii="Arial" w:hAnsi="Arial" w:cs="Arial"/>
          <w:u w:val="single"/>
        </w:rPr>
        <w:t xml:space="preserve"> </w:t>
      </w:r>
      <w:r w:rsidR="005B7FD8" w:rsidRPr="006D575F">
        <w:rPr>
          <w:rFonts w:ascii="Arial" w:hAnsi="Arial" w:cs="Arial"/>
          <w:u w:val="single"/>
        </w:rPr>
        <w:t xml:space="preserve"> </w:t>
      </w:r>
    </w:p>
    <w:p w:rsidR="00052276" w:rsidRPr="006D575F" w:rsidRDefault="002867C2" w:rsidP="00052276">
      <w:pPr>
        <w:spacing w:line="360" w:lineRule="auto"/>
        <w:jc w:val="both"/>
        <w:rPr>
          <w:rFonts w:ascii="Arial" w:hAnsi="Arial" w:cs="Arial"/>
          <w:sz w:val="24"/>
          <w:szCs w:val="24"/>
        </w:rPr>
      </w:pPr>
      <w:r w:rsidRPr="006D575F">
        <w:rPr>
          <w:rFonts w:ascii="Arial" w:hAnsi="Arial" w:cs="Arial"/>
          <w:sz w:val="24"/>
          <w:szCs w:val="24"/>
        </w:rPr>
        <w:t xml:space="preserve">El termino secularización proviene  del la palabra en latín seculum como sinónimo del mundo temporal </w:t>
      </w:r>
      <w:r w:rsidR="00F2402A" w:rsidRPr="006D575F">
        <w:rPr>
          <w:rFonts w:ascii="Arial" w:hAnsi="Arial" w:cs="Arial"/>
          <w:sz w:val="24"/>
          <w:szCs w:val="24"/>
        </w:rPr>
        <w:t>luego fue empleado en la edad media indicativo como abandono de la regla por parte de los religiosos esto es abandonar la vida religiosa . Cuando se celebro la Paz de Westfalia en 1648 como indicativo que algunas instituciones había pasado al nuevo orden temporal es decir secular. Es con el movimiento ilustrad</w:t>
      </w:r>
      <w:r w:rsidR="0061734A" w:rsidRPr="006D575F">
        <w:rPr>
          <w:rFonts w:ascii="Arial" w:hAnsi="Arial" w:cs="Arial"/>
          <w:sz w:val="24"/>
          <w:szCs w:val="24"/>
        </w:rPr>
        <w:t>o del Siglo XVIII que toma fuerza la idea de secularización y un desencantamiento de lo religiosos por parte de los ilustrados de la época, cuestionando continuamente a la iglesia católica en todos los ámbitos académicos. El futuro de las instituciones religiosas tomarían un nuevo rumbo provocando un declive en</w:t>
      </w:r>
      <w:r w:rsidR="00052276" w:rsidRPr="006D575F">
        <w:rPr>
          <w:rFonts w:ascii="Arial" w:hAnsi="Arial" w:cs="Arial"/>
          <w:sz w:val="24"/>
          <w:szCs w:val="24"/>
        </w:rPr>
        <w:t xml:space="preserve"> el catolicismo; en sus simbología , su base doctrinal e instituciones pero sobretodo sus cuantiosos ingresos producto de obras pias, capellanías, diezmos, cofradías etc. La nueva mentalidad racional se contrapone al mundo de la superstición, del miedo, de lo sobrenatural. El interés por la religión y su interacción social se desarrolló intensivamente hacia fines del </w:t>
      </w:r>
      <w:hyperlink r:id="rId14" w:tooltip="Siglo XIX" w:history="1">
        <w:r w:rsidR="00052276" w:rsidRPr="006D575F">
          <w:rPr>
            <w:rFonts w:ascii="Arial" w:hAnsi="Arial" w:cs="Arial"/>
            <w:sz w:val="24"/>
            <w:szCs w:val="24"/>
          </w:rPr>
          <w:t>siglo XIX</w:t>
        </w:r>
      </w:hyperlink>
      <w:r w:rsidR="00052276" w:rsidRPr="006D575F">
        <w:rPr>
          <w:rFonts w:ascii="Arial" w:hAnsi="Arial" w:cs="Arial"/>
          <w:sz w:val="24"/>
          <w:szCs w:val="24"/>
        </w:rPr>
        <w:t xml:space="preserve"> y principios del </w:t>
      </w:r>
      <w:hyperlink r:id="rId15" w:tooltip="Siglo XX" w:history="1">
        <w:r w:rsidR="00052276" w:rsidRPr="006D575F">
          <w:rPr>
            <w:rFonts w:ascii="Arial" w:hAnsi="Arial" w:cs="Arial"/>
            <w:sz w:val="24"/>
            <w:szCs w:val="24"/>
          </w:rPr>
          <w:t>siglo XX</w:t>
        </w:r>
      </w:hyperlink>
      <w:r w:rsidR="00052276" w:rsidRPr="006D575F">
        <w:rPr>
          <w:rFonts w:ascii="Arial" w:hAnsi="Arial" w:cs="Arial"/>
          <w:sz w:val="24"/>
          <w:szCs w:val="24"/>
        </w:rPr>
        <w:t xml:space="preserve">, recibiendo el aporte de grandes teóricos entre los que es clásico citar a </w:t>
      </w:r>
      <w:hyperlink r:id="rId16" w:tooltip="Émile Durkheim" w:history="1">
        <w:r w:rsidR="00052276" w:rsidRPr="006D575F">
          <w:rPr>
            <w:rFonts w:ascii="Arial" w:hAnsi="Arial" w:cs="Arial"/>
            <w:sz w:val="24"/>
            <w:szCs w:val="24"/>
          </w:rPr>
          <w:t>Emile Durkheim</w:t>
        </w:r>
      </w:hyperlink>
      <w:r w:rsidR="00052276" w:rsidRPr="006D575F">
        <w:rPr>
          <w:rFonts w:ascii="Arial" w:hAnsi="Arial" w:cs="Arial"/>
          <w:sz w:val="24"/>
          <w:szCs w:val="24"/>
        </w:rPr>
        <w:t xml:space="preserve">, </w:t>
      </w:r>
      <w:hyperlink r:id="rId17" w:tooltip="Max Weber" w:history="1">
        <w:r w:rsidR="00052276" w:rsidRPr="006D575F">
          <w:rPr>
            <w:rFonts w:ascii="Arial" w:hAnsi="Arial" w:cs="Arial"/>
            <w:sz w:val="24"/>
            <w:szCs w:val="24"/>
          </w:rPr>
          <w:t>Max Weber</w:t>
        </w:r>
      </w:hyperlink>
      <w:r w:rsidR="00052276" w:rsidRPr="006D575F">
        <w:rPr>
          <w:rFonts w:ascii="Arial" w:hAnsi="Arial" w:cs="Arial"/>
          <w:sz w:val="24"/>
          <w:szCs w:val="24"/>
        </w:rPr>
        <w:t xml:space="preserve"> y </w:t>
      </w:r>
      <w:hyperlink r:id="rId18" w:tooltip="Karl Marx" w:history="1">
        <w:r w:rsidR="00052276" w:rsidRPr="006D575F">
          <w:rPr>
            <w:rFonts w:ascii="Arial" w:hAnsi="Arial" w:cs="Arial"/>
            <w:sz w:val="24"/>
            <w:szCs w:val="24"/>
          </w:rPr>
          <w:t>Karl Marx</w:t>
        </w:r>
      </w:hyperlink>
      <w:r w:rsidR="00052276" w:rsidRPr="006D575F">
        <w:rPr>
          <w:rFonts w:ascii="Arial" w:hAnsi="Arial" w:cs="Arial"/>
          <w:sz w:val="24"/>
          <w:szCs w:val="24"/>
        </w:rPr>
        <w:t xml:space="preserve">. Entre los sociólogos de la religión más recientes, pueden citarse a </w:t>
      </w:r>
      <w:hyperlink r:id="rId19" w:tooltip="Émile Poulat" w:history="1">
        <w:r w:rsidR="00052276" w:rsidRPr="006D575F">
          <w:rPr>
            <w:rFonts w:ascii="Arial" w:hAnsi="Arial" w:cs="Arial"/>
            <w:sz w:val="24"/>
            <w:szCs w:val="24"/>
          </w:rPr>
          <w:t>Emile Poulat</w:t>
        </w:r>
      </w:hyperlink>
      <w:r w:rsidR="00052276" w:rsidRPr="006D575F">
        <w:rPr>
          <w:rFonts w:ascii="Arial" w:hAnsi="Arial" w:cs="Arial"/>
          <w:sz w:val="24"/>
          <w:szCs w:val="24"/>
        </w:rPr>
        <w:t xml:space="preserve">, </w:t>
      </w:r>
      <w:hyperlink r:id="rId20" w:tooltip="Peter L. Berger" w:history="1">
        <w:r w:rsidR="00052276" w:rsidRPr="006D575F">
          <w:rPr>
            <w:rFonts w:ascii="Arial" w:hAnsi="Arial" w:cs="Arial"/>
            <w:sz w:val="24"/>
            <w:szCs w:val="24"/>
          </w:rPr>
          <w:t>Peter L. Berger</w:t>
        </w:r>
      </w:hyperlink>
      <w:r w:rsidR="00052276" w:rsidRPr="006D575F">
        <w:rPr>
          <w:rFonts w:ascii="Arial" w:hAnsi="Arial" w:cs="Arial"/>
          <w:sz w:val="24"/>
          <w:szCs w:val="24"/>
        </w:rPr>
        <w:t xml:space="preserve">, </w:t>
      </w:r>
      <w:hyperlink r:id="rId21" w:tooltip="Michael Plekon (aún no redactado)" w:history="1">
        <w:r w:rsidR="00052276" w:rsidRPr="006D575F">
          <w:rPr>
            <w:rFonts w:ascii="Arial" w:hAnsi="Arial" w:cs="Arial"/>
            <w:sz w:val="24"/>
            <w:szCs w:val="24"/>
          </w:rPr>
          <w:t>Michael  Plekon</w:t>
        </w:r>
      </w:hyperlink>
      <w:r w:rsidR="00052276" w:rsidRPr="006D575F">
        <w:rPr>
          <w:rFonts w:ascii="Arial" w:hAnsi="Arial" w:cs="Arial"/>
          <w:sz w:val="24"/>
          <w:szCs w:val="24"/>
        </w:rPr>
        <w:t xml:space="preserve">,  </w:t>
      </w:r>
      <w:hyperlink r:id="rId22" w:tooltip="Rodney Stark" w:history="1">
        <w:r w:rsidR="00052276" w:rsidRPr="006D575F">
          <w:rPr>
            <w:rFonts w:ascii="Arial" w:hAnsi="Arial" w:cs="Arial"/>
            <w:sz w:val="24"/>
            <w:szCs w:val="24"/>
          </w:rPr>
          <w:t>RodneyStark</w:t>
        </w:r>
      </w:hyperlink>
      <w:r w:rsidR="00052276" w:rsidRPr="006D575F">
        <w:rPr>
          <w:rFonts w:ascii="Arial" w:hAnsi="Arial" w:cs="Arial"/>
          <w:sz w:val="24"/>
          <w:szCs w:val="24"/>
        </w:rPr>
        <w:t xml:space="preserve">, </w:t>
      </w:r>
      <w:hyperlink r:id="rId23" w:tooltip="Robert Wuthnow (aún no redactado)" w:history="1">
        <w:r w:rsidR="00052276" w:rsidRPr="006D575F">
          <w:rPr>
            <w:rFonts w:ascii="Arial" w:hAnsi="Arial" w:cs="Arial"/>
            <w:sz w:val="24"/>
            <w:szCs w:val="24"/>
          </w:rPr>
          <w:t>Robert Wuthnow</w:t>
        </w:r>
      </w:hyperlink>
      <w:r w:rsidR="00052276" w:rsidRPr="006D575F">
        <w:rPr>
          <w:rFonts w:ascii="Arial" w:hAnsi="Arial" w:cs="Arial"/>
          <w:sz w:val="24"/>
          <w:szCs w:val="24"/>
        </w:rPr>
        <w:t xml:space="preserve">, </w:t>
      </w:r>
      <w:hyperlink r:id="rId24" w:tooltip="François Houtart" w:history="1">
        <w:r w:rsidR="00052276" w:rsidRPr="006D575F">
          <w:rPr>
            <w:rFonts w:ascii="Arial" w:hAnsi="Arial" w:cs="Arial"/>
            <w:sz w:val="24"/>
            <w:szCs w:val="24"/>
          </w:rPr>
          <w:t>François Houtart</w:t>
        </w:r>
      </w:hyperlink>
      <w:r w:rsidR="00052276" w:rsidRPr="006D575F">
        <w:rPr>
          <w:rFonts w:ascii="Arial" w:hAnsi="Arial" w:cs="Arial"/>
          <w:sz w:val="24"/>
          <w:szCs w:val="24"/>
        </w:rPr>
        <w:t xml:space="preserve">, </w:t>
      </w:r>
      <w:hyperlink r:id="rId25" w:tooltip="René Rémond" w:history="1">
        <w:r w:rsidR="00052276" w:rsidRPr="006D575F">
          <w:rPr>
            <w:rFonts w:ascii="Arial" w:hAnsi="Arial" w:cs="Arial"/>
            <w:sz w:val="24"/>
            <w:szCs w:val="24"/>
          </w:rPr>
          <w:t>René Rémond</w:t>
        </w:r>
      </w:hyperlink>
      <w:r w:rsidR="00052276" w:rsidRPr="006D575F">
        <w:rPr>
          <w:rFonts w:ascii="Arial" w:hAnsi="Arial" w:cs="Arial"/>
          <w:sz w:val="24"/>
          <w:szCs w:val="24"/>
        </w:rPr>
        <w:t xml:space="preserve">, </w:t>
      </w:r>
      <w:hyperlink r:id="rId26" w:tooltip="Danièle Hervieu-Léger (aún no redactado)" w:history="1">
        <w:r w:rsidR="00052276" w:rsidRPr="006D575F">
          <w:rPr>
            <w:rFonts w:ascii="Arial" w:hAnsi="Arial" w:cs="Arial"/>
            <w:sz w:val="24"/>
            <w:szCs w:val="24"/>
          </w:rPr>
          <w:t>DanièleHervieu -Léger</w:t>
        </w:r>
      </w:hyperlink>
      <w:r w:rsidR="00052276" w:rsidRPr="006D575F">
        <w:rPr>
          <w:rFonts w:ascii="Arial" w:hAnsi="Arial" w:cs="Arial"/>
          <w:sz w:val="24"/>
          <w:szCs w:val="24"/>
        </w:rPr>
        <w:t xml:space="preserve">, </w:t>
      </w:r>
      <w:hyperlink r:id="rId27" w:tooltip="James Davison Hunter (aún no redactado)" w:history="1">
        <w:r w:rsidR="00052276" w:rsidRPr="006D575F">
          <w:rPr>
            <w:rFonts w:ascii="Arial" w:hAnsi="Arial" w:cs="Arial"/>
            <w:sz w:val="24"/>
            <w:szCs w:val="24"/>
          </w:rPr>
          <w:t>James Davison Hunter</w:t>
        </w:r>
      </w:hyperlink>
      <w:r w:rsidR="00052276" w:rsidRPr="006D575F">
        <w:rPr>
          <w:rFonts w:ascii="Arial" w:hAnsi="Arial" w:cs="Arial"/>
          <w:sz w:val="24"/>
          <w:szCs w:val="24"/>
        </w:rPr>
        <w:t xml:space="preserve">, NiklasLuhmann y </w:t>
      </w:r>
      <w:hyperlink r:id="rId28" w:tooltip="Christian Smith (aún no redactado)" w:history="1">
        <w:r w:rsidR="00052276" w:rsidRPr="006D575F">
          <w:rPr>
            <w:rFonts w:ascii="Arial" w:hAnsi="Arial" w:cs="Arial"/>
            <w:sz w:val="24"/>
            <w:szCs w:val="24"/>
          </w:rPr>
          <w:t>Christian Smith</w:t>
        </w:r>
      </w:hyperlink>
      <w:r w:rsidR="00052276" w:rsidRPr="006D575F">
        <w:rPr>
          <w:rFonts w:ascii="Arial" w:hAnsi="Arial" w:cs="Arial"/>
          <w:sz w:val="24"/>
          <w:szCs w:val="24"/>
        </w:rPr>
        <w:t xml:space="preserve">. En América Latina sobresalen </w:t>
      </w:r>
      <w:hyperlink r:id="rId29" w:tooltip="Cristián Parker Gumucio" w:history="1">
        <w:r w:rsidR="00052276" w:rsidRPr="006D575F">
          <w:rPr>
            <w:rFonts w:ascii="Arial" w:hAnsi="Arial" w:cs="Arial"/>
            <w:sz w:val="24"/>
            <w:szCs w:val="24"/>
          </w:rPr>
          <w:t>Cristian Parker</w:t>
        </w:r>
      </w:hyperlink>
      <w:r w:rsidR="00052276" w:rsidRPr="006D575F">
        <w:rPr>
          <w:rFonts w:ascii="Arial" w:hAnsi="Arial" w:cs="Arial"/>
          <w:sz w:val="24"/>
          <w:szCs w:val="24"/>
        </w:rPr>
        <w:t xml:space="preserve"> (chileno) </w:t>
      </w:r>
      <w:hyperlink r:id="rId30" w:tooltip="Fortunato Mallimaci" w:history="1">
        <w:r w:rsidR="00052276" w:rsidRPr="006D575F">
          <w:rPr>
            <w:rFonts w:ascii="Arial" w:hAnsi="Arial" w:cs="Arial"/>
            <w:sz w:val="24"/>
            <w:szCs w:val="24"/>
          </w:rPr>
          <w:t>Fortunato Mallimaci</w:t>
        </w:r>
      </w:hyperlink>
      <w:r w:rsidR="00052276" w:rsidRPr="006D575F">
        <w:rPr>
          <w:rFonts w:ascii="Arial" w:hAnsi="Arial" w:cs="Arial"/>
          <w:sz w:val="24"/>
          <w:szCs w:val="24"/>
        </w:rPr>
        <w:t xml:space="preserve"> (argentino) </w:t>
      </w:r>
      <w:hyperlink r:id="rId31" w:tooltip="Otto Maduro (aún no redactado)" w:history="1">
        <w:r w:rsidR="00052276" w:rsidRPr="006D575F">
          <w:rPr>
            <w:rFonts w:ascii="Arial" w:hAnsi="Arial" w:cs="Arial"/>
            <w:sz w:val="24"/>
            <w:szCs w:val="24"/>
          </w:rPr>
          <w:t>Otto Maduro</w:t>
        </w:r>
      </w:hyperlink>
      <w:r w:rsidR="00052276" w:rsidRPr="006D575F">
        <w:rPr>
          <w:rFonts w:ascii="Arial" w:hAnsi="Arial" w:cs="Arial"/>
          <w:sz w:val="24"/>
          <w:szCs w:val="24"/>
        </w:rPr>
        <w:t xml:space="preserve"> (venezolano) e </w:t>
      </w:r>
      <w:hyperlink r:id="rId32" w:tooltip="Imelda Vega-Centeno (aún no redactado)" w:history="1">
        <w:r w:rsidR="00052276" w:rsidRPr="006D575F">
          <w:rPr>
            <w:rFonts w:ascii="Arial" w:hAnsi="Arial" w:cs="Arial"/>
            <w:sz w:val="24"/>
            <w:szCs w:val="24"/>
          </w:rPr>
          <w:t>Imelda Vega-Centeno</w:t>
        </w:r>
      </w:hyperlink>
      <w:r w:rsidR="00052276" w:rsidRPr="006D575F">
        <w:rPr>
          <w:rFonts w:ascii="Arial" w:hAnsi="Arial" w:cs="Arial"/>
          <w:sz w:val="24"/>
          <w:szCs w:val="24"/>
        </w:rPr>
        <w:t xml:space="preserve"> (peruana), entre otros.</w:t>
      </w:r>
    </w:p>
    <w:p w:rsidR="00052276" w:rsidRPr="006D575F" w:rsidRDefault="00052276" w:rsidP="00052276">
      <w:pPr>
        <w:spacing w:line="360" w:lineRule="auto"/>
        <w:jc w:val="both"/>
        <w:rPr>
          <w:rFonts w:ascii="Arial" w:hAnsi="Arial" w:cs="Arial"/>
          <w:b/>
          <w:sz w:val="24"/>
          <w:szCs w:val="24"/>
          <w:u w:val="single"/>
        </w:rPr>
      </w:pPr>
      <w:r w:rsidRPr="006D575F">
        <w:rPr>
          <w:rFonts w:ascii="Arial" w:hAnsi="Arial" w:cs="Arial"/>
          <w:sz w:val="24"/>
          <w:szCs w:val="24"/>
        </w:rPr>
        <w:t>El uso del término secularización para indicar el proceso de laicización en el pensamiento científico es una extensión del concepto original .Instituciones tales como la política y la educación son retirados de la esfera religiosa; el dosel sagrado es restringido cada vez más. Se dice que la gente se ha secularizado cuando disminuye su participación en las iglesias y cuando transiciones importantes de la vida: nacimiento, matrimonio, y funeral –no están sacralizados, esto es cuando cada vez menos gente sigue los ritos de pasos eclesiales.</w:t>
      </w:r>
      <w:r w:rsidRPr="006D575F">
        <w:rPr>
          <w:rStyle w:val="Refdenotaalpie"/>
          <w:rFonts w:ascii="Arial" w:hAnsi="Arial" w:cs="Arial"/>
          <w:sz w:val="24"/>
          <w:szCs w:val="24"/>
        </w:rPr>
        <w:footnoteReference w:id="23"/>
      </w:r>
    </w:p>
    <w:p w:rsidR="00052276" w:rsidRPr="006D575F" w:rsidRDefault="00052276" w:rsidP="00052276">
      <w:pPr>
        <w:spacing w:line="360" w:lineRule="auto"/>
        <w:jc w:val="both"/>
        <w:rPr>
          <w:rFonts w:ascii="Arial" w:hAnsi="Arial" w:cs="Arial"/>
          <w:sz w:val="24"/>
          <w:szCs w:val="24"/>
        </w:rPr>
      </w:pPr>
      <w:r w:rsidRPr="006D575F">
        <w:rPr>
          <w:rFonts w:ascii="Arial" w:hAnsi="Arial" w:cs="Arial"/>
          <w:sz w:val="24"/>
          <w:szCs w:val="24"/>
        </w:rPr>
        <w:t xml:space="preserve">El tema de la secularización se analiza en el contexto de la relación Iglesia- Estado ambos estrechamente ligados durante el periodo colonial Iglesia-Monarquía, la religión “era entonces…la imbricación del poder civil con el eclesiástico. El trono necesitaba de la legitimación religiosa que le proporcionaba la iglesia a través de sus pastores” </w:t>
      </w:r>
      <w:r w:rsidRPr="006D575F">
        <w:rPr>
          <w:rStyle w:val="Refdenotaalpie"/>
          <w:rFonts w:ascii="Arial" w:hAnsi="Arial" w:cs="Arial"/>
          <w:sz w:val="24"/>
          <w:szCs w:val="24"/>
        </w:rPr>
        <w:footnoteReference w:id="24"/>
      </w:r>
    </w:p>
    <w:p w:rsidR="00052276" w:rsidRPr="006D575F" w:rsidRDefault="00052276" w:rsidP="00052276">
      <w:pPr>
        <w:spacing w:line="360" w:lineRule="auto"/>
        <w:jc w:val="both"/>
        <w:rPr>
          <w:rFonts w:ascii="Arial" w:hAnsi="Arial" w:cs="Arial"/>
          <w:sz w:val="24"/>
          <w:szCs w:val="24"/>
        </w:rPr>
      </w:pPr>
      <w:r w:rsidRPr="006D575F">
        <w:rPr>
          <w:rFonts w:ascii="Arial" w:hAnsi="Arial" w:cs="Arial"/>
          <w:sz w:val="24"/>
          <w:szCs w:val="24"/>
        </w:rPr>
        <w:t xml:space="preserve"> Marx, Durkheim y Weber coincidían en la tesis según la cual la religión pierde influencia en el mundo a medida que avanza la modernidad, fenómeno conocido como secularización. Marx consideraba que el avance de la razón y el desarrollo de una genuina conciencia de clase iban desplazar definitivamente a </w:t>
      </w:r>
    </w:p>
    <w:p w:rsidR="00052276" w:rsidRPr="006D575F" w:rsidRDefault="00052276" w:rsidP="00052276">
      <w:pPr>
        <w:spacing w:line="360" w:lineRule="auto"/>
        <w:jc w:val="both"/>
        <w:rPr>
          <w:rFonts w:ascii="Arial" w:hAnsi="Arial" w:cs="Arial"/>
          <w:sz w:val="24"/>
          <w:szCs w:val="24"/>
        </w:rPr>
      </w:pPr>
      <w:r w:rsidRPr="006D575F">
        <w:rPr>
          <w:rFonts w:ascii="Arial" w:hAnsi="Arial" w:cs="Arial"/>
          <w:sz w:val="24"/>
          <w:szCs w:val="24"/>
        </w:rPr>
        <w:t xml:space="preserve">las supersticiones religiosas que además  representaban un aparato de dominación.  El hombre secular seria aquel que habría resuelto todo el misterio del universo, hasta  el punto que podía prescindir de todas las preguntas acerca de lo absoluto. Para Marx el hombre secular podría vivir sin lo sagrado. </w:t>
      </w:r>
    </w:p>
    <w:p w:rsidR="00052276" w:rsidRPr="006D575F" w:rsidRDefault="00052276" w:rsidP="00052276">
      <w:pPr>
        <w:spacing w:line="360" w:lineRule="auto"/>
        <w:jc w:val="both"/>
        <w:rPr>
          <w:rFonts w:ascii="Arial" w:hAnsi="Arial" w:cs="Arial"/>
          <w:sz w:val="24"/>
          <w:szCs w:val="24"/>
        </w:rPr>
      </w:pPr>
      <w:r w:rsidRPr="006D575F">
        <w:rPr>
          <w:rFonts w:ascii="Arial" w:hAnsi="Arial" w:cs="Arial"/>
          <w:sz w:val="24"/>
          <w:szCs w:val="24"/>
        </w:rPr>
        <w:t>Por otra parte Berger analiza el proceso de secularización a la luz de estos presupuestos teóricos, la secularización es definida como:</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“el proceso por el cual se suprime el dominio de las instituciones y símbolos religiosos de algunos sectores de la sociedad y la cultura: se disminuye el contenido religioso de todas las manifestaciones culturales y, en su aspecto subjetivo, la secularización logra eliminar, o por lo menos disminuir, de la consciencia individual los presupuestos religiosos de interpretación  del mundo.</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 xml:space="preserve">El proceso de secularización de occidente hunde sus raíces en el Antiguo Testamento: el historicismo y la actitud radicalmente anti-mágica del pueblo judío continúa en el cristianismo: aunque la encarnación divina promueve </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 xml:space="preserve">la re-mitologización y el re-encantamiento, el monopolio eclesiástico de lo sagrado en el catolicismo polarizó lo sagrado y lo profano, </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 xml:space="preserve">Dejándole a éste último la posibilidad de la secularización. En el mundo moderno, desde perspectiva social, la secularización tiene su núcleo en las transformaciones económicas que generaron el mundo industrial capitalista. El nuevo paradigma económico relegó la religión a esferas no económicas, al Estado y a la familia. </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 xml:space="preserve">Posteriormente, al impregnar también la mentalidad burguesa al Estado, quedó relegada a la esfera de lo privado. Esta secularización produce un pluralismo </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 xml:space="preserve">Que modifica las dinámicas de lo religioso. Por una parte, el pluralismo asume la lógica del mercado: transforma la relación iglesia-fiel en la relación vendedor cliente. Lo que implica una burocratización de las instituciones religiosas; </w:t>
      </w:r>
    </w:p>
    <w:p w:rsidR="00052276" w:rsidRPr="006D575F" w:rsidRDefault="00052276" w:rsidP="00052276">
      <w:pPr>
        <w:spacing w:after="0" w:line="360" w:lineRule="auto"/>
        <w:jc w:val="both"/>
        <w:rPr>
          <w:rFonts w:ascii="Arial" w:eastAsia="Times New Roman" w:hAnsi="Arial" w:cs="Arial"/>
          <w:i/>
          <w:sz w:val="24"/>
          <w:szCs w:val="24"/>
          <w:lang w:eastAsia="es-ES"/>
        </w:rPr>
      </w:pPr>
      <w:r w:rsidRPr="006D575F">
        <w:rPr>
          <w:rFonts w:ascii="Arial" w:eastAsia="Times New Roman" w:hAnsi="Arial" w:cs="Arial"/>
          <w:i/>
          <w:sz w:val="24"/>
          <w:szCs w:val="24"/>
          <w:lang w:eastAsia="es-ES"/>
        </w:rPr>
        <w:t>Modificación de los contenidos doctrinales en función de las necesidades del cliente; relativización de las verdades religiosas; la  realidad religiosa se arraiga en el mundo interior del individuo y no en la facticidad exterior. Todo esto genera, en su conjunto, una crisis de credibilidad generalizada.”</w:t>
      </w:r>
      <w:r w:rsidRPr="006D575F">
        <w:rPr>
          <w:rStyle w:val="Refdenotaalpie"/>
          <w:rFonts w:ascii="Arial" w:eastAsia="Times New Roman" w:hAnsi="Arial" w:cs="Arial"/>
          <w:i/>
          <w:sz w:val="24"/>
          <w:szCs w:val="24"/>
          <w:lang w:eastAsia="es-ES"/>
        </w:rPr>
        <w:footnoteReference w:id="25"/>
      </w:r>
    </w:p>
    <w:p w:rsidR="00052276" w:rsidRPr="006D575F" w:rsidRDefault="00052276" w:rsidP="00052276">
      <w:pPr>
        <w:jc w:val="both"/>
        <w:rPr>
          <w:rFonts w:ascii="Arial" w:hAnsi="Arial" w:cs="Arial"/>
          <w:sz w:val="24"/>
          <w:szCs w:val="24"/>
        </w:rPr>
      </w:pPr>
    </w:p>
    <w:p w:rsidR="009B281D" w:rsidRPr="006D575F" w:rsidRDefault="00530C4F" w:rsidP="006D575F">
      <w:pPr>
        <w:jc w:val="both"/>
        <w:rPr>
          <w:rFonts w:ascii="Arial" w:eastAsia="Times New Roman" w:hAnsi="Arial" w:cs="Arial"/>
          <w:sz w:val="24"/>
          <w:szCs w:val="24"/>
          <w:lang w:eastAsia="es-ES"/>
        </w:rPr>
      </w:pPr>
      <w:r w:rsidRPr="006D575F">
        <w:rPr>
          <w:rFonts w:ascii="Arial" w:hAnsi="Arial" w:cs="Arial"/>
          <w:sz w:val="24"/>
          <w:szCs w:val="24"/>
        </w:rPr>
        <w:t xml:space="preserve">Por su parte </w:t>
      </w:r>
      <w:r w:rsidR="00684BE7" w:rsidRPr="006D575F">
        <w:rPr>
          <w:rFonts w:ascii="Arial" w:hAnsi="Arial" w:cs="Arial"/>
          <w:sz w:val="24"/>
          <w:szCs w:val="24"/>
        </w:rPr>
        <w:t>Pérez</w:t>
      </w:r>
      <w:r w:rsidR="004D522C" w:rsidRPr="006D575F">
        <w:rPr>
          <w:rFonts w:ascii="Arial" w:hAnsi="Arial" w:cs="Arial"/>
          <w:sz w:val="24"/>
          <w:szCs w:val="24"/>
        </w:rPr>
        <w:t xml:space="preserve"> Agote</w:t>
      </w:r>
      <w:r w:rsidR="006F113B" w:rsidRPr="006D575F">
        <w:rPr>
          <w:rStyle w:val="Refdenotaalpie"/>
          <w:rFonts w:ascii="Arial" w:hAnsi="Arial" w:cs="Arial"/>
          <w:sz w:val="24"/>
          <w:szCs w:val="24"/>
        </w:rPr>
        <w:footnoteReference w:id="26"/>
      </w:r>
      <w:sdt>
        <w:sdtPr>
          <w:rPr>
            <w:rFonts w:ascii="Arial" w:hAnsi="Arial" w:cs="Arial"/>
            <w:sz w:val="24"/>
            <w:szCs w:val="24"/>
            <w:vertAlign w:val="superscript"/>
          </w:rPr>
          <w:id w:val="2955367"/>
          <w:citation/>
        </w:sdtPr>
        <w:sdtEndPr/>
        <w:sdtContent>
          <w:r w:rsidR="00137516" w:rsidRPr="006D575F">
            <w:rPr>
              <w:rFonts w:ascii="Arial" w:hAnsi="Arial" w:cs="Arial"/>
              <w:sz w:val="24"/>
              <w:szCs w:val="24"/>
            </w:rPr>
            <w:fldChar w:fldCharType="begin"/>
          </w:r>
          <w:r w:rsidR="0074204B" w:rsidRPr="006D575F">
            <w:rPr>
              <w:rFonts w:ascii="Arial" w:hAnsi="Arial" w:cs="Arial"/>
              <w:sz w:val="24"/>
              <w:szCs w:val="24"/>
            </w:rPr>
            <w:instrText xml:space="preserve"> CITATION Per10 \l 3082 </w:instrText>
          </w:r>
          <w:r w:rsidR="00137516" w:rsidRPr="006D575F">
            <w:rPr>
              <w:rFonts w:ascii="Arial" w:hAnsi="Arial" w:cs="Arial"/>
              <w:sz w:val="24"/>
              <w:szCs w:val="24"/>
            </w:rPr>
            <w:fldChar w:fldCharType="separate"/>
          </w:r>
          <w:r w:rsidR="0074204B" w:rsidRPr="006D575F">
            <w:rPr>
              <w:rFonts w:ascii="Arial" w:hAnsi="Arial" w:cs="Arial"/>
              <w:noProof/>
              <w:sz w:val="24"/>
              <w:szCs w:val="24"/>
            </w:rPr>
            <w:t xml:space="preserve"> (Perez Agote, 2010)</w:t>
          </w:r>
          <w:r w:rsidR="00137516" w:rsidRPr="006D575F">
            <w:rPr>
              <w:rFonts w:ascii="Arial" w:hAnsi="Arial" w:cs="Arial"/>
              <w:sz w:val="24"/>
              <w:szCs w:val="24"/>
            </w:rPr>
            <w:fldChar w:fldCharType="end"/>
          </w:r>
        </w:sdtContent>
      </w:sdt>
      <w:r w:rsidR="004D522C" w:rsidRPr="006D575F">
        <w:rPr>
          <w:rFonts w:ascii="Arial" w:hAnsi="Arial" w:cs="Arial"/>
          <w:sz w:val="24"/>
          <w:szCs w:val="24"/>
        </w:rPr>
        <w:t xml:space="preserve"> analiza la obra de </w:t>
      </w:r>
      <w:r w:rsidRPr="006D575F">
        <w:rPr>
          <w:rFonts w:ascii="Arial" w:hAnsi="Arial" w:cs="Arial"/>
          <w:sz w:val="24"/>
          <w:szCs w:val="24"/>
        </w:rPr>
        <w:t>D</w:t>
      </w:r>
      <w:r w:rsidR="004D522C" w:rsidRPr="006D575F">
        <w:rPr>
          <w:rFonts w:ascii="Arial" w:hAnsi="Arial" w:cs="Arial"/>
          <w:sz w:val="24"/>
          <w:szCs w:val="24"/>
        </w:rPr>
        <w:t>.</w:t>
      </w:r>
      <w:r w:rsidR="00684BE7">
        <w:rPr>
          <w:rFonts w:ascii="Arial" w:hAnsi="Arial" w:cs="Arial"/>
          <w:sz w:val="24"/>
          <w:szCs w:val="24"/>
        </w:rPr>
        <w:t xml:space="preserve"> </w:t>
      </w:r>
      <w:r w:rsidR="004D522C" w:rsidRPr="006D575F">
        <w:rPr>
          <w:rFonts w:ascii="Arial" w:eastAsia="Times New Roman" w:hAnsi="Arial" w:cs="Arial"/>
          <w:sz w:val="24"/>
          <w:szCs w:val="24"/>
          <w:lang w:eastAsia="es-ES"/>
        </w:rPr>
        <w:t>Dobbelaere K ,</w:t>
      </w:r>
      <w:r w:rsidRPr="006D575F">
        <w:rPr>
          <w:rFonts w:ascii="Arial" w:eastAsia="Times New Roman" w:hAnsi="Arial" w:cs="Arial"/>
          <w:sz w:val="24"/>
          <w:szCs w:val="24"/>
          <w:lang w:eastAsia="es-ES"/>
        </w:rPr>
        <w:t xml:space="preserve"> </w:t>
      </w:r>
      <w:r w:rsidRPr="006D575F">
        <w:rPr>
          <w:rFonts w:ascii="Arial" w:eastAsia="Times New Roman" w:hAnsi="Arial" w:cs="Arial"/>
          <w:i/>
          <w:sz w:val="24"/>
          <w:szCs w:val="24"/>
          <w:lang w:eastAsia="es-ES"/>
        </w:rPr>
        <w:t>Secularization: an Analysis at three Levels</w:t>
      </w:r>
      <w:r w:rsidRPr="006D575F">
        <w:rPr>
          <w:rFonts w:ascii="Arial" w:eastAsia="Times New Roman" w:hAnsi="Arial" w:cs="Arial"/>
          <w:sz w:val="24"/>
          <w:szCs w:val="24"/>
          <w:lang w:eastAsia="es-ES"/>
        </w:rPr>
        <w:t xml:space="preserve"> refiere que esta es un intento de trazar un esquema para el análisis del cambio religioso derivado de las tres diferentes facetas o niveles que el autor considera componen la teoría de la secularización . El primer nivel es la secularización </w:t>
      </w:r>
      <w:r w:rsidR="00A22436" w:rsidRPr="006D575F">
        <w:rPr>
          <w:rFonts w:ascii="Arial" w:eastAsia="Times New Roman" w:hAnsi="Arial" w:cs="Arial"/>
          <w:sz w:val="24"/>
          <w:szCs w:val="24"/>
          <w:lang w:eastAsia="es-ES"/>
        </w:rPr>
        <w:t>societal,</w:t>
      </w:r>
      <w:r w:rsidRPr="006D575F">
        <w:rPr>
          <w:rFonts w:ascii="Arial" w:eastAsia="Times New Roman" w:hAnsi="Arial" w:cs="Arial"/>
          <w:sz w:val="24"/>
          <w:szCs w:val="24"/>
          <w:lang w:eastAsia="es-ES"/>
        </w:rPr>
        <w:t xml:space="preserve"> que supone la progresiva separación de la religión con respecto a las otras</w:t>
      </w:r>
      <w:r w:rsidR="004D522C" w:rsidRPr="006D575F">
        <w:rPr>
          <w:rFonts w:ascii="Arial" w:eastAsia="Times New Roman" w:hAnsi="Arial" w:cs="Arial"/>
          <w:sz w:val="24"/>
          <w:szCs w:val="24"/>
          <w:lang w:eastAsia="es-ES"/>
        </w:rPr>
        <w:t xml:space="preserve"> esferas de la sociedad, como la </w:t>
      </w:r>
      <w:r w:rsidR="00A22436" w:rsidRPr="006D575F">
        <w:rPr>
          <w:rFonts w:ascii="Arial" w:eastAsia="Times New Roman" w:hAnsi="Arial" w:cs="Arial"/>
          <w:sz w:val="24"/>
          <w:szCs w:val="24"/>
          <w:lang w:eastAsia="es-ES"/>
        </w:rPr>
        <w:t>política,</w:t>
      </w:r>
      <w:r w:rsidR="004D522C" w:rsidRPr="006D575F">
        <w:rPr>
          <w:rFonts w:ascii="Arial" w:eastAsia="Times New Roman" w:hAnsi="Arial" w:cs="Arial"/>
          <w:sz w:val="24"/>
          <w:szCs w:val="24"/>
          <w:lang w:eastAsia="es-ES"/>
        </w:rPr>
        <w:t xml:space="preserve"> la </w:t>
      </w:r>
      <w:r w:rsidR="00A22436" w:rsidRPr="006D575F">
        <w:rPr>
          <w:rFonts w:ascii="Arial" w:eastAsia="Times New Roman" w:hAnsi="Arial" w:cs="Arial"/>
          <w:sz w:val="24"/>
          <w:szCs w:val="24"/>
          <w:lang w:eastAsia="es-ES"/>
        </w:rPr>
        <w:t>ciencia,</w:t>
      </w:r>
      <w:r w:rsidR="004D522C" w:rsidRPr="006D575F">
        <w:rPr>
          <w:rFonts w:ascii="Arial" w:eastAsia="Times New Roman" w:hAnsi="Arial" w:cs="Arial"/>
          <w:sz w:val="24"/>
          <w:szCs w:val="24"/>
          <w:lang w:eastAsia="es-ES"/>
        </w:rPr>
        <w:t xml:space="preserve"> la economía, etc. El</w:t>
      </w:r>
      <w:r w:rsidR="00A22436" w:rsidRPr="006D575F">
        <w:rPr>
          <w:rFonts w:ascii="Arial" w:eastAsia="Times New Roman" w:hAnsi="Arial" w:cs="Arial"/>
          <w:sz w:val="24"/>
          <w:szCs w:val="24"/>
          <w:lang w:eastAsia="es-ES"/>
        </w:rPr>
        <w:t xml:space="preserve"> segundo nivel es el individual,</w:t>
      </w:r>
      <w:r w:rsidR="004D522C" w:rsidRPr="006D575F">
        <w:rPr>
          <w:rFonts w:ascii="Arial" w:eastAsia="Times New Roman" w:hAnsi="Arial" w:cs="Arial"/>
          <w:sz w:val="24"/>
          <w:szCs w:val="24"/>
          <w:lang w:eastAsia="es-ES"/>
        </w:rPr>
        <w:t xml:space="preserve"> que implica el declinar del compromiso </w:t>
      </w:r>
      <w:r w:rsidR="00A22436" w:rsidRPr="006D575F">
        <w:rPr>
          <w:rFonts w:ascii="Arial" w:eastAsia="Times New Roman" w:hAnsi="Arial" w:cs="Arial"/>
          <w:sz w:val="24"/>
          <w:szCs w:val="24"/>
          <w:lang w:eastAsia="es-ES"/>
        </w:rPr>
        <w:t>religioso,</w:t>
      </w:r>
      <w:r w:rsidR="004D522C" w:rsidRPr="006D575F">
        <w:rPr>
          <w:rFonts w:ascii="Arial" w:eastAsia="Times New Roman" w:hAnsi="Arial" w:cs="Arial"/>
          <w:sz w:val="24"/>
          <w:szCs w:val="24"/>
          <w:lang w:eastAsia="es-ES"/>
        </w:rPr>
        <w:t xml:space="preserve"> de las creencias y las </w:t>
      </w:r>
      <w:r w:rsidR="00A22436" w:rsidRPr="006D575F">
        <w:rPr>
          <w:rFonts w:ascii="Arial" w:eastAsia="Times New Roman" w:hAnsi="Arial" w:cs="Arial"/>
          <w:sz w:val="24"/>
          <w:szCs w:val="24"/>
          <w:lang w:eastAsia="es-ES"/>
        </w:rPr>
        <w:t>practicas,</w:t>
      </w:r>
      <w:r w:rsidR="004D522C" w:rsidRPr="006D575F">
        <w:rPr>
          <w:rFonts w:ascii="Arial" w:eastAsia="Times New Roman" w:hAnsi="Arial" w:cs="Arial"/>
          <w:sz w:val="24"/>
          <w:szCs w:val="24"/>
          <w:lang w:eastAsia="es-ES"/>
        </w:rPr>
        <w:t xml:space="preserve"> el tercer y último nivel se refiere a la secularización de las propias organizaciones religiosas, proceso por el cual estas se adaptan a la modernidad</w:t>
      </w:r>
      <w:r w:rsidR="009B281D" w:rsidRPr="006D575F">
        <w:rPr>
          <w:rFonts w:ascii="Arial" w:eastAsia="Times New Roman" w:hAnsi="Arial" w:cs="Arial"/>
          <w:sz w:val="24"/>
          <w:szCs w:val="24"/>
          <w:lang w:eastAsia="es-ES"/>
        </w:rPr>
        <w:t>.</w:t>
      </w:r>
    </w:p>
    <w:p w:rsidR="00852B9E" w:rsidRPr="006D575F" w:rsidRDefault="00852B9E" w:rsidP="00E4125A">
      <w:pPr>
        <w:spacing w:line="360" w:lineRule="auto"/>
        <w:jc w:val="both"/>
        <w:rPr>
          <w:rFonts w:ascii="Arial" w:hAnsi="Arial" w:cs="Arial"/>
        </w:rPr>
      </w:pPr>
    </w:p>
    <w:p w:rsidR="00852B9E" w:rsidRPr="006D575F" w:rsidRDefault="002C3327" w:rsidP="00E4125A">
      <w:pPr>
        <w:spacing w:line="360" w:lineRule="auto"/>
        <w:jc w:val="both"/>
        <w:rPr>
          <w:rFonts w:ascii="Arial" w:hAnsi="Arial" w:cs="Arial"/>
          <w:b/>
          <w:u w:val="single"/>
        </w:rPr>
      </w:pPr>
      <w:r w:rsidRPr="006D575F">
        <w:rPr>
          <w:rFonts w:ascii="Arial" w:hAnsi="Arial" w:cs="Arial"/>
          <w:b/>
          <w:u w:val="single"/>
        </w:rPr>
        <w:t>PRIMEROS PASOS HACIA LA SECULARIZACION</w:t>
      </w:r>
    </w:p>
    <w:p w:rsidR="00E4125A" w:rsidRPr="006D575F" w:rsidRDefault="00B44695" w:rsidP="00E4125A">
      <w:pPr>
        <w:spacing w:line="360" w:lineRule="auto"/>
        <w:jc w:val="both"/>
        <w:rPr>
          <w:rFonts w:ascii="Arial" w:hAnsi="Arial" w:cs="Arial"/>
          <w:sz w:val="24"/>
          <w:szCs w:val="24"/>
        </w:rPr>
      </w:pPr>
      <w:r w:rsidRPr="006D575F">
        <w:rPr>
          <w:rFonts w:ascii="Arial" w:hAnsi="Arial" w:cs="Arial"/>
          <w:sz w:val="24"/>
          <w:szCs w:val="24"/>
        </w:rPr>
        <w:t>El 4 de octubre de 1749 Fernando VI emitió una real cédula que dio inicio a la transferencia generalizada de las doctrinas administradas por los religiosos a los clérigos diocesanos.</w:t>
      </w:r>
      <w:r w:rsidR="00852B9E" w:rsidRPr="006D575F">
        <w:rPr>
          <w:rFonts w:ascii="Arial" w:hAnsi="Arial" w:cs="Arial"/>
          <w:sz w:val="24"/>
          <w:szCs w:val="24"/>
        </w:rPr>
        <w:t xml:space="preserve"> Cuando una  doctrina, misión o curato pasaba </w:t>
      </w:r>
      <w:r w:rsidR="002C3327" w:rsidRPr="006D575F">
        <w:rPr>
          <w:rFonts w:ascii="Arial" w:hAnsi="Arial" w:cs="Arial"/>
          <w:sz w:val="24"/>
          <w:szCs w:val="24"/>
        </w:rPr>
        <w:t>a las manos</w:t>
      </w:r>
      <w:r w:rsidR="00852B9E" w:rsidRPr="006D575F">
        <w:rPr>
          <w:rFonts w:ascii="Arial" w:hAnsi="Arial" w:cs="Arial"/>
          <w:sz w:val="24"/>
          <w:szCs w:val="24"/>
        </w:rPr>
        <w:t xml:space="preserve"> del clero secular se convertía en parroquia</w:t>
      </w:r>
      <w:r w:rsidR="00400A86" w:rsidRPr="006D575F">
        <w:rPr>
          <w:rFonts w:ascii="Arial" w:hAnsi="Arial" w:cs="Arial"/>
          <w:sz w:val="24"/>
          <w:szCs w:val="24"/>
        </w:rPr>
        <w:t>.</w:t>
      </w:r>
      <w:r w:rsidR="00A74894" w:rsidRPr="006D575F">
        <w:rPr>
          <w:rFonts w:ascii="Arial" w:hAnsi="Arial" w:cs="Arial"/>
          <w:sz w:val="24"/>
          <w:szCs w:val="24"/>
        </w:rPr>
        <w:t xml:space="preserve"> </w:t>
      </w:r>
      <w:r w:rsidR="00400A86" w:rsidRPr="006D575F">
        <w:rPr>
          <w:rFonts w:ascii="Arial" w:hAnsi="Arial" w:cs="Arial"/>
          <w:sz w:val="24"/>
          <w:szCs w:val="24"/>
        </w:rPr>
        <w:t xml:space="preserve">Las doctrinas y misiones estaban organizadas y administradas por las </w:t>
      </w:r>
      <w:r w:rsidR="002C3327" w:rsidRPr="006D575F">
        <w:rPr>
          <w:rFonts w:ascii="Arial" w:hAnsi="Arial" w:cs="Arial"/>
          <w:sz w:val="24"/>
          <w:szCs w:val="24"/>
        </w:rPr>
        <w:t>órdenes</w:t>
      </w:r>
      <w:r w:rsidR="00400A86" w:rsidRPr="006D575F">
        <w:rPr>
          <w:rFonts w:ascii="Arial" w:hAnsi="Arial" w:cs="Arial"/>
          <w:sz w:val="24"/>
          <w:szCs w:val="24"/>
        </w:rPr>
        <w:t xml:space="preserve"> mendicantes, en el caso de Honduras por la orden Franciscana que proveía a la población indígena del “pasto espiritual”</w:t>
      </w:r>
      <w:r w:rsidR="008F62B8" w:rsidRPr="006D575F">
        <w:rPr>
          <w:rFonts w:ascii="Arial" w:hAnsi="Arial" w:cs="Arial"/>
          <w:sz w:val="24"/>
          <w:szCs w:val="24"/>
        </w:rPr>
        <w:t xml:space="preserve">. </w:t>
      </w:r>
      <w:r w:rsidR="00400A86" w:rsidRPr="006D575F">
        <w:rPr>
          <w:rFonts w:ascii="Arial" w:hAnsi="Arial" w:cs="Arial"/>
          <w:sz w:val="24"/>
          <w:szCs w:val="24"/>
        </w:rPr>
        <w:t>Su conversión y el bautismo garantizaban la salvación de su alma y los alejaba de la idolatría. A cambio los curas se les asi</w:t>
      </w:r>
      <w:r w:rsidR="003B14F0" w:rsidRPr="006D575F">
        <w:rPr>
          <w:rFonts w:ascii="Arial" w:hAnsi="Arial" w:cs="Arial"/>
          <w:sz w:val="24"/>
          <w:szCs w:val="24"/>
        </w:rPr>
        <w:t>gnaba un estipendio que llego a</w:t>
      </w:r>
      <w:r w:rsidR="00400A86" w:rsidRPr="006D575F">
        <w:rPr>
          <w:rFonts w:ascii="Arial" w:hAnsi="Arial" w:cs="Arial"/>
          <w:sz w:val="24"/>
          <w:szCs w:val="24"/>
        </w:rPr>
        <w:t xml:space="preserve">lcanzar a finales del siglo XVIII </w:t>
      </w:r>
      <w:r w:rsidR="003B14F0" w:rsidRPr="006D575F">
        <w:rPr>
          <w:rFonts w:ascii="Arial" w:hAnsi="Arial" w:cs="Arial"/>
          <w:sz w:val="24"/>
          <w:szCs w:val="24"/>
        </w:rPr>
        <w:t>la cantidad de cuatrocientos cincuenta pesos anuales</w:t>
      </w:r>
      <w:r w:rsidR="008F62B8" w:rsidRPr="006D575F">
        <w:rPr>
          <w:rFonts w:ascii="Arial" w:hAnsi="Arial" w:cs="Arial"/>
          <w:sz w:val="24"/>
          <w:szCs w:val="24"/>
        </w:rPr>
        <w:t xml:space="preserve">. </w:t>
      </w:r>
      <w:r w:rsidR="003B14F0" w:rsidRPr="006D575F">
        <w:rPr>
          <w:rFonts w:ascii="Arial" w:hAnsi="Arial" w:cs="Arial"/>
          <w:sz w:val="24"/>
          <w:szCs w:val="24"/>
        </w:rPr>
        <w:t xml:space="preserve">Su actividad misionera  </w:t>
      </w:r>
      <w:r w:rsidR="009B707D" w:rsidRPr="006D575F">
        <w:rPr>
          <w:rFonts w:ascii="Arial" w:hAnsi="Arial" w:cs="Arial"/>
          <w:sz w:val="24"/>
          <w:szCs w:val="24"/>
        </w:rPr>
        <w:t xml:space="preserve">como curas doctrineros </w:t>
      </w:r>
      <w:r w:rsidR="003B14F0" w:rsidRPr="006D575F">
        <w:rPr>
          <w:rFonts w:ascii="Arial" w:hAnsi="Arial" w:cs="Arial"/>
          <w:sz w:val="24"/>
          <w:szCs w:val="24"/>
        </w:rPr>
        <w:t>debía durar diez años  y después los indígenas ya evangelizados debían ser administrados por el cle</w:t>
      </w:r>
      <w:r w:rsidR="00653EE4" w:rsidRPr="006D575F">
        <w:rPr>
          <w:rFonts w:ascii="Arial" w:hAnsi="Arial" w:cs="Arial"/>
          <w:sz w:val="24"/>
          <w:szCs w:val="24"/>
        </w:rPr>
        <w:t xml:space="preserve">ro secular </w:t>
      </w:r>
      <w:r w:rsidR="00A74894" w:rsidRPr="006D575F">
        <w:rPr>
          <w:rFonts w:ascii="Arial" w:hAnsi="Arial" w:cs="Arial"/>
          <w:sz w:val="24"/>
          <w:szCs w:val="24"/>
        </w:rPr>
        <w:t xml:space="preserve">en las parroquias. </w:t>
      </w:r>
      <w:r w:rsidR="008F62B8" w:rsidRPr="006D575F">
        <w:rPr>
          <w:rFonts w:ascii="Arial" w:hAnsi="Arial" w:cs="Arial"/>
          <w:sz w:val="24"/>
          <w:szCs w:val="24"/>
        </w:rPr>
        <w:t>Una parroquia se puede definir entonces como una comunidad de fieles constituida establemente, cuyo cuidado pastoral se confería a un clérigo con título de párroco que podía ser ayudado por uno o más vicarios parroquiales, los clérigos seculares hablaban de parroquias cuando aludían a sus fundaciones urbanas y de partidos si estaban en el mundo rural.</w:t>
      </w:r>
      <w:r w:rsidR="00CC38AD" w:rsidRPr="006D575F">
        <w:rPr>
          <w:rStyle w:val="Refdenotaalpie"/>
          <w:rFonts w:ascii="Arial" w:hAnsi="Arial" w:cs="Arial"/>
          <w:sz w:val="24"/>
          <w:szCs w:val="24"/>
        </w:rPr>
        <w:footnoteReference w:id="27"/>
      </w:r>
      <w:r w:rsidR="00A74894" w:rsidRPr="006D575F">
        <w:rPr>
          <w:rFonts w:ascii="Arial" w:hAnsi="Arial" w:cs="Arial"/>
          <w:noProof/>
          <w:sz w:val="24"/>
          <w:szCs w:val="24"/>
        </w:rPr>
        <w:t xml:space="preserve"> </w:t>
      </w:r>
      <w:r w:rsidR="002D36DA" w:rsidRPr="006D575F">
        <w:rPr>
          <w:rFonts w:ascii="Arial" w:hAnsi="Arial" w:cs="Arial"/>
          <w:noProof/>
          <w:sz w:val="24"/>
          <w:szCs w:val="24"/>
        </w:rPr>
        <w:t>El Obispado de Honduras estaba dividido en curatos administrados en su mayoria por mercedarios ,mientras la orden franciscana estaba dedicada a las doctrinas y misiones .</w:t>
      </w:r>
    </w:p>
    <w:p w:rsidR="004942A4" w:rsidRDefault="002D36DA" w:rsidP="002D36DA">
      <w:pPr>
        <w:spacing w:line="360" w:lineRule="auto"/>
        <w:jc w:val="both"/>
        <w:rPr>
          <w:rFonts w:ascii="Arial" w:eastAsia="Times New Roman" w:hAnsi="Arial" w:cs="Arial"/>
          <w:color w:val="080808"/>
          <w:sz w:val="24"/>
          <w:szCs w:val="24"/>
          <w:lang w:eastAsia="es-ES"/>
        </w:rPr>
      </w:pPr>
      <w:r w:rsidRPr="006D575F">
        <w:rPr>
          <w:rFonts w:ascii="Arial" w:hAnsi="Arial" w:cs="Arial"/>
          <w:sz w:val="24"/>
          <w:szCs w:val="24"/>
        </w:rPr>
        <w:t xml:space="preserve">De acuerdo a Alvarez Icaza </w:t>
      </w:r>
      <w:r w:rsidRPr="006D575F">
        <w:rPr>
          <w:rStyle w:val="Refdenotaalpie"/>
          <w:rFonts w:ascii="Arial" w:hAnsi="Arial" w:cs="Arial"/>
          <w:sz w:val="24"/>
          <w:szCs w:val="24"/>
        </w:rPr>
        <w:footnoteReference w:id="28"/>
      </w:r>
      <w:r w:rsidRPr="006D575F">
        <w:rPr>
          <w:rFonts w:ascii="Arial" w:hAnsi="Arial" w:cs="Arial"/>
          <w:sz w:val="24"/>
          <w:szCs w:val="24"/>
        </w:rPr>
        <w:t>u</w:t>
      </w:r>
      <w:r w:rsidR="008F62B8" w:rsidRPr="006D575F">
        <w:rPr>
          <w:rFonts w:ascii="Arial" w:hAnsi="Arial" w:cs="Arial"/>
          <w:sz w:val="24"/>
          <w:szCs w:val="24"/>
        </w:rPr>
        <w:t xml:space="preserve">no de los asuntos que más molestaba a los regalistas era que los regulares procuraban mantenerse exentos de la autoridad episcopal. Además, les incomodaban los lazos que las órdenes religiosas tenían con el papado, ya que los superiores de éstas y de las congregaciones residían en Roma y podían mantener informado al papa a pesar de la política restrictiva de los gobernantes españoles. La Corona optó por minar las bases económicas y sociales de las órdenes religiosas y someterlas al control estatal. Varios ministros insistieron en que debía ponerse en marcha un programa de reforma que lograra reducir el número de religiosos, el confinamiento en los claustros y la recuperación de la observancia de sus reglas. Los frailes debían alejarse del mundo y cultivar el espíritu para servir como ejemplo al modelo de religiosidad interiorista defendido por las Luces, mientras que el clero secular, mucho más uniforme y manejable en teoría, debía ocuparse en </w:t>
      </w:r>
      <w:r w:rsidR="00A74894" w:rsidRPr="006D575F">
        <w:rPr>
          <w:rFonts w:ascii="Arial" w:hAnsi="Arial" w:cs="Arial"/>
          <w:sz w:val="24"/>
          <w:szCs w:val="24"/>
        </w:rPr>
        <w:t>exclusiva de la cura de almas.</w:t>
      </w:r>
      <w:r w:rsidR="008F62B8" w:rsidRPr="006D575F">
        <w:rPr>
          <w:rFonts w:ascii="Arial" w:hAnsi="Arial" w:cs="Arial"/>
          <w:sz w:val="24"/>
          <w:szCs w:val="24"/>
        </w:rPr>
        <w:t xml:space="preserve"> </w:t>
      </w:r>
      <w:r w:rsidR="00A74894" w:rsidRPr="006D575F">
        <w:rPr>
          <w:rFonts w:ascii="Arial" w:hAnsi="Arial" w:cs="Arial"/>
          <w:sz w:val="24"/>
          <w:szCs w:val="24"/>
        </w:rPr>
        <w:t xml:space="preserve"> </w:t>
      </w:r>
      <w:r w:rsidR="008F62B8" w:rsidRPr="006D575F">
        <w:rPr>
          <w:rFonts w:ascii="Arial" w:hAnsi="Arial" w:cs="Arial"/>
          <w:sz w:val="24"/>
          <w:szCs w:val="24"/>
        </w:rPr>
        <w:t>Desde su llegada al trono de España, los Borbones consideraron especialmente urgente revisar la situación de la Iglesia en sus dominio</w:t>
      </w:r>
      <w:r w:rsidR="00C674D8" w:rsidRPr="006D575F">
        <w:rPr>
          <w:rFonts w:ascii="Arial" w:hAnsi="Arial" w:cs="Arial"/>
          <w:sz w:val="24"/>
          <w:szCs w:val="24"/>
        </w:rPr>
        <w:t xml:space="preserve">s indianos </w:t>
      </w:r>
      <w:r w:rsidR="008F62B8" w:rsidRPr="006D575F">
        <w:rPr>
          <w:rFonts w:ascii="Arial" w:hAnsi="Arial" w:cs="Arial"/>
          <w:sz w:val="24"/>
          <w:szCs w:val="24"/>
        </w:rPr>
        <w:t>particular para la conformación de una imagen negativa de la l</w:t>
      </w:r>
      <w:r w:rsidR="00C674D8" w:rsidRPr="006D575F">
        <w:rPr>
          <w:rFonts w:ascii="Arial" w:hAnsi="Arial" w:cs="Arial"/>
          <w:sz w:val="24"/>
          <w:szCs w:val="24"/>
        </w:rPr>
        <w:t>abor de las órdenes mendicantes.</w:t>
      </w:r>
      <w:r w:rsidR="00F47128" w:rsidRPr="006D575F">
        <w:rPr>
          <w:rFonts w:ascii="Arial" w:hAnsi="Arial" w:cs="Arial"/>
          <w:sz w:val="24"/>
          <w:szCs w:val="24"/>
        </w:rPr>
        <w:t xml:space="preserve"> </w:t>
      </w:r>
      <w:r w:rsidR="00F47128" w:rsidRPr="006D575F">
        <w:rPr>
          <w:rFonts w:ascii="Arial" w:eastAsia="Times New Roman" w:hAnsi="Arial" w:cs="Arial"/>
          <w:color w:val="080808"/>
          <w:sz w:val="24"/>
          <w:szCs w:val="24"/>
          <w:lang w:eastAsia="es-ES"/>
        </w:rPr>
        <w:t>El reinado de Carlos III permitió la entrada gradual al Reino de Guatemala de un ideario favorable a los cambios en la organización general del sistema educativo. Aunque los indicios al respecto son tenues, si es posible detectar que el proceso de implantación social de la lectura y de la escritura fue acelerado en estos años. Fue éste, pues, un periodo que abrió las puertas por primera vez a un proceso secularizador, dentro una sociedad dominada intelectualmente por el clero y los códigos culturales católicos.</w:t>
      </w:r>
      <w:r w:rsidR="002724C7" w:rsidRPr="006D575F">
        <w:rPr>
          <w:rStyle w:val="Refdenotaalpie"/>
          <w:rFonts w:ascii="Arial" w:eastAsia="Times New Roman" w:hAnsi="Arial" w:cs="Arial"/>
          <w:color w:val="080808"/>
          <w:sz w:val="24"/>
          <w:szCs w:val="24"/>
          <w:lang w:eastAsia="es-ES"/>
        </w:rPr>
        <w:footnoteReference w:id="29"/>
      </w:r>
      <w:r w:rsidR="004942A4">
        <w:rPr>
          <w:rFonts w:ascii="Arial" w:eastAsia="Times New Roman" w:hAnsi="Arial" w:cs="Arial"/>
          <w:color w:val="080808"/>
          <w:sz w:val="24"/>
          <w:szCs w:val="24"/>
          <w:lang w:eastAsia="es-ES"/>
        </w:rPr>
        <w:t xml:space="preserve">  </w:t>
      </w:r>
    </w:p>
    <w:p w:rsidR="006707D7" w:rsidRPr="006D575F" w:rsidRDefault="004942A4" w:rsidP="002D36DA">
      <w:pPr>
        <w:spacing w:line="360" w:lineRule="auto"/>
        <w:jc w:val="both"/>
        <w:rPr>
          <w:rFonts w:ascii="Arial" w:hAnsi="Arial" w:cs="Arial"/>
          <w:sz w:val="24"/>
          <w:szCs w:val="24"/>
        </w:rPr>
      </w:pPr>
      <w:r>
        <w:rPr>
          <w:rFonts w:ascii="Arial" w:hAnsi="Arial" w:cs="Arial"/>
          <w:noProof/>
          <w:sz w:val="24"/>
          <w:szCs w:val="24"/>
        </w:rPr>
        <w:t>.</w:t>
      </w:r>
    </w:p>
    <w:p w:rsidR="00B40E1E" w:rsidRPr="006D575F" w:rsidRDefault="00B40E1E" w:rsidP="002D36DA">
      <w:pPr>
        <w:jc w:val="both"/>
        <w:rPr>
          <w:rFonts w:ascii="Arial" w:hAnsi="Arial" w:cs="Arial"/>
          <w:sz w:val="24"/>
          <w:szCs w:val="24"/>
        </w:rPr>
      </w:pPr>
    </w:p>
    <w:p w:rsidR="004942A4" w:rsidRDefault="004942A4" w:rsidP="002D36DA">
      <w:pPr>
        <w:pStyle w:val="Prrafodelista"/>
        <w:spacing w:line="360" w:lineRule="auto"/>
        <w:ind w:left="644"/>
        <w:jc w:val="both"/>
        <w:rPr>
          <w:rFonts w:ascii="Arial" w:hAnsi="Arial" w:cs="Arial"/>
          <w:sz w:val="24"/>
          <w:szCs w:val="24"/>
          <w:u w:val="single"/>
        </w:rPr>
      </w:pPr>
    </w:p>
    <w:p w:rsidR="001636D7" w:rsidRPr="000B6D0B" w:rsidRDefault="001636D7" w:rsidP="000B6D0B">
      <w:pPr>
        <w:spacing w:line="360" w:lineRule="auto"/>
        <w:jc w:val="both"/>
        <w:rPr>
          <w:rFonts w:ascii="Arial" w:hAnsi="Arial" w:cs="Arial"/>
          <w:sz w:val="24"/>
          <w:szCs w:val="24"/>
          <w:u w:val="single"/>
        </w:rPr>
      </w:pPr>
    </w:p>
    <w:p w:rsidR="00B40E1E" w:rsidRPr="006D575F" w:rsidRDefault="00B40E1E" w:rsidP="007A6FDB">
      <w:pPr>
        <w:jc w:val="both"/>
        <w:rPr>
          <w:rFonts w:ascii="Arial" w:hAnsi="Arial" w:cs="Arial"/>
          <w:b/>
          <w:sz w:val="24"/>
          <w:szCs w:val="24"/>
          <w:u w:val="single"/>
        </w:rPr>
      </w:pPr>
      <w:r w:rsidRPr="006D575F">
        <w:rPr>
          <w:rFonts w:ascii="Arial" w:hAnsi="Arial" w:cs="Arial"/>
          <w:b/>
          <w:sz w:val="24"/>
          <w:szCs w:val="24"/>
          <w:u w:val="single"/>
        </w:rPr>
        <w:t>Fuentes  Web</w:t>
      </w:r>
    </w:p>
    <w:p w:rsidR="00DE5E47" w:rsidRPr="006D575F" w:rsidRDefault="00DE5E47" w:rsidP="007A6FDB">
      <w:pPr>
        <w:spacing w:line="360" w:lineRule="auto"/>
        <w:jc w:val="both"/>
        <w:rPr>
          <w:rFonts w:ascii="Arial" w:hAnsi="Arial" w:cs="Arial"/>
          <w:color w:val="0000FF"/>
          <w:sz w:val="24"/>
          <w:szCs w:val="24"/>
          <w:u w:val="single"/>
        </w:rPr>
      </w:pPr>
      <w:r w:rsidRPr="006D575F">
        <w:rPr>
          <w:rFonts w:ascii="Arial" w:hAnsi="Arial" w:cs="Arial"/>
          <w:sz w:val="24"/>
          <w:szCs w:val="24"/>
          <w:u w:val="single"/>
        </w:rPr>
        <w:t>Concordato de 1753 entre Fernando VI y  el Papa Benedicto  XVI .   wwww.cervantesvirtual.com</w:t>
      </w:r>
    </w:p>
    <w:p w:rsidR="00B40E1E" w:rsidRPr="006D575F" w:rsidRDefault="00820A45" w:rsidP="007A6FDB">
      <w:pPr>
        <w:jc w:val="both"/>
        <w:rPr>
          <w:rFonts w:ascii="Arial" w:hAnsi="Arial" w:cs="Arial"/>
          <w:sz w:val="24"/>
          <w:szCs w:val="24"/>
        </w:rPr>
      </w:pPr>
      <w:hyperlink r:id="rId33" w:history="1">
        <w:r w:rsidR="00B40E1E" w:rsidRPr="006D575F">
          <w:rPr>
            <w:rStyle w:val="Hipervnculo"/>
            <w:rFonts w:ascii="Arial" w:hAnsi="Arial" w:cs="Arial"/>
            <w:sz w:val="24"/>
            <w:szCs w:val="24"/>
          </w:rPr>
          <w:t>NAVAS, Vicente</w:t>
        </w:r>
      </w:hyperlink>
      <w:r w:rsidR="00B40E1E" w:rsidRPr="006D575F">
        <w:rPr>
          <w:rFonts w:ascii="Arial" w:hAnsi="Arial" w:cs="Arial"/>
          <w:sz w:val="24"/>
          <w:szCs w:val="24"/>
        </w:rPr>
        <w:t xml:space="preserve"> Obispo de Comayagua que ha sido capellán y predicador honorario de Carlos III y ligado a los proyectos borbónicos de renovación. </w:t>
      </w:r>
    </w:p>
    <w:p w:rsidR="00B40E1E" w:rsidRPr="006D575F" w:rsidRDefault="00820A45" w:rsidP="007A6FDB">
      <w:pPr>
        <w:jc w:val="both"/>
        <w:rPr>
          <w:rFonts w:ascii="Arial" w:hAnsi="Arial" w:cs="Arial"/>
          <w:sz w:val="24"/>
          <w:szCs w:val="24"/>
        </w:rPr>
      </w:pPr>
      <w:hyperlink r:id="rId34" w:history="1">
        <w:r w:rsidR="00B40E1E" w:rsidRPr="006D575F">
          <w:rPr>
            <w:rFonts w:ascii="Arial" w:hAnsi="Arial" w:cs="Arial"/>
            <w:sz w:val="24"/>
            <w:szCs w:val="24"/>
            <w:u w:val="single"/>
          </w:rPr>
          <w:t>CADIÑANOS Fernando</w:t>
        </w:r>
      </w:hyperlink>
      <w:r w:rsidR="00B40E1E" w:rsidRPr="006D575F">
        <w:rPr>
          <w:rFonts w:ascii="Arial" w:hAnsi="Arial" w:cs="Arial"/>
          <w:sz w:val="24"/>
          <w:szCs w:val="24"/>
        </w:rPr>
        <w:t xml:space="preserve"> Algunos aspectos de la vida de Fernando Cadiñanos quien es considerado como uno de los mejores obispos que hayan pisado el sueldo hondureños a finales del siglo XVIII.</w:t>
      </w:r>
    </w:p>
    <w:p w:rsidR="00B40E1E" w:rsidRPr="006D575F" w:rsidRDefault="00B40E1E" w:rsidP="007A6FDB">
      <w:pPr>
        <w:jc w:val="both"/>
        <w:rPr>
          <w:rFonts w:ascii="Arial" w:hAnsi="Arial" w:cs="Arial"/>
          <w:sz w:val="24"/>
          <w:szCs w:val="24"/>
        </w:rPr>
      </w:pPr>
      <w:r w:rsidRPr="006D575F">
        <w:rPr>
          <w:rFonts w:ascii="Arial" w:hAnsi="Arial" w:cs="Arial"/>
          <w:sz w:val="24"/>
          <w:szCs w:val="24"/>
        </w:rPr>
        <w:t>ChristopheBelaubre</w:t>
      </w:r>
      <w:hyperlink r:id="rId35" w:history="1">
        <w:r w:rsidRPr="006D575F">
          <w:rPr>
            <w:rStyle w:val="Hipervnculo"/>
            <w:rFonts w:ascii="Arial" w:hAnsi="Arial" w:cs="Arial"/>
            <w:sz w:val="24"/>
            <w:szCs w:val="24"/>
          </w:rPr>
          <w:t>La educación en el Reino de Guatemala: primeros pasos hacia una secularización de la enseñanza (1759-1821).</w:t>
        </w:r>
      </w:hyperlink>
      <w:r w:rsidRPr="006D575F">
        <w:rPr>
          <w:rFonts w:ascii="Arial" w:hAnsi="Arial" w:cs="Arial"/>
          <w:sz w:val="24"/>
          <w:szCs w:val="24"/>
        </w:rPr>
        <w:t xml:space="preserve"> Aunque se suele citar a los representantes del alto clero, en particular a los obispos Polanco , Villegas , Francos y Monroy , a los curas García Redondo, Ruiz, Dighero, Ayestas y los frailes.</w:t>
      </w:r>
    </w:p>
    <w:p w:rsidR="00B40E1E" w:rsidRPr="006D575F" w:rsidRDefault="00820A45" w:rsidP="007A6FDB">
      <w:pPr>
        <w:jc w:val="both"/>
        <w:rPr>
          <w:rFonts w:ascii="Arial" w:hAnsi="Arial" w:cs="Arial"/>
          <w:sz w:val="24"/>
          <w:szCs w:val="24"/>
        </w:rPr>
      </w:pPr>
      <w:hyperlink r:id="rId36" w:history="1">
        <w:r w:rsidR="00B40E1E" w:rsidRPr="006D575F">
          <w:rPr>
            <w:rStyle w:val="Hipervnculo"/>
            <w:rFonts w:ascii="Arial" w:hAnsi="Arial" w:cs="Arial"/>
            <w:sz w:val="24"/>
            <w:szCs w:val="24"/>
          </w:rPr>
          <w:t>Historia e historiografía de la educación en Centroamérica.</w:t>
        </w:r>
      </w:hyperlink>
      <w:r w:rsidR="00B40E1E" w:rsidRPr="006D575F">
        <w:rPr>
          <w:rFonts w:ascii="Arial" w:hAnsi="Arial" w:cs="Arial"/>
          <w:sz w:val="24"/>
          <w:szCs w:val="24"/>
        </w:rPr>
        <w:t xml:space="preserve"> Presentación Boletín AFEHC No. 54 de septiembre del 2012.Con importante bibliografía acerca del tema.</w:t>
      </w:r>
    </w:p>
    <w:p w:rsidR="00B40E1E" w:rsidRPr="006D575F" w:rsidRDefault="00B40E1E" w:rsidP="007A6FDB">
      <w:pPr>
        <w:jc w:val="both"/>
        <w:rPr>
          <w:rFonts w:ascii="Arial" w:hAnsi="Arial" w:cs="Arial"/>
          <w:sz w:val="24"/>
          <w:szCs w:val="24"/>
        </w:rPr>
      </w:pPr>
      <w:r w:rsidRPr="006D575F">
        <w:rPr>
          <w:rFonts w:ascii="Arial" w:hAnsi="Arial" w:cs="Arial"/>
          <w:sz w:val="24"/>
          <w:szCs w:val="24"/>
        </w:rPr>
        <w:t>ChristopheBelaubre</w:t>
      </w:r>
      <w:hyperlink r:id="rId37" w:history="1">
        <w:r w:rsidRPr="006D575F">
          <w:rPr>
            <w:rStyle w:val="Hipervnculo"/>
            <w:rFonts w:ascii="Arial" w:hAnsi="Arial" w:cs="Arial"/>
            <w:sz w:val="24"/>
            <w:szCs w:val="24"/>
          </w:rPr>
          <w:t>Del capellán al arzobispo: acercamiento a la terminología de la jerarquía y de las funciones eclesiásticas en la diócesis de Guatemala (Siglo XVIII)</w:t>
        </w:r>
      </w:hyperlink>
      <w:r w:rsidRPr="006D575F">
        <w:rPr>
          <w:rFonts w:ascii="Arial" w:hAnsi="Arial" w:cs="Arial"/>
          <w:sz w:val="24"/>
          <w:szCs w:val="24"/>
        </w:rPr>
        <w:t xml:space="preserve"> En este ensayo se aborda el problema de la naturaleza de las taxonomías en uso para estudiar el clero y su significado para los que las construyen y para los que las usan durante el siglo XVIII en.</w:t>
      </w:r>
    </w:p>
    <w:p w:rsidR="00B40E1E" w:rsidRPr="006D575F" w:rsidRDefault="00820A45" w:rsidP="007A6FDB">
      <w:pPr>
        <w:jc w:val="both"/>
        <w:rPr>
          <w:rFonts w:ascii="Arial" w:hAnsi="Arial" w:cs="Arial"/>
          <w:sz w:val="24"/>
          <w:szCs w:val="24"/>
        </w:rPr>
      </w:pPr>
      <w:hyperlink r:id="rId38" w:history="1">
        <w:r w:rsidR="00B40E1E" w:rsidRPr="006D575F">
          <w:rPr>
            <w:rStyle w:val="Hipervnculo"/>
            <w:rFonts w:ascii="Arial" w:hAnsi="Arial" w:cs="Arial"/>
            <w:sz w:val="24"/>
            <w:szCs w:val="24"/>
            <w:lang w:val="en-US"/>
          </w:rPr>
          <w:t>Government and Society in Central America, 1680–1840.</w:t>
        </w:r>
      </w:hyperlink>
      <w:r w:rsidR="00B40E1E" w:rsidRPr="006D575F">
        <w:rPr>
          <w:rFonts w:ascii="Arial" w:hAnsi="Arial" w:cs="Arial"/>
          <w:sz w:val="24"/>
          <w:szCs w:val="24"/>
        </w:rPr>
        <w:t>Wortman compara el desarrollo de los sistemas de gobierno de los habsburgos y los borbones y las consecuencias que tuvieron para la economía y la sociedad de la Centroamérica española.</w:t>
      </w:r>
    </w:p>
    <w:p w:rsidR="00B40E1E" w:rsidRPr="006D575F" w:rsidRDefault="00820A45" w:rsidP="007A6FDB">
      <w:pPr>
        <w:jc w:val="both"/>
        <w:rPr>
          <w:rFonts w:ascii="Arial" w:hAnsi="Arial" w:cs="Arial"/>
          <w:sz w:val="24"/>
          <w:szCs w:val="24"/>
        </w:rPr>
      </w:pPr>
      <w:hyperlink r:id="rId39" w:history="1">
        <w:r w:rsidR="00B40E1E" w:rsidRPr="006D575F">
          <w:rPr>
            <w:rStyle w:val="Hipervnculo"/>
            <w:rFonts w:ascii="Arial" w:hAnsi="Arial" w:cs="Arial"/>
            <w:sz w:val="24"/>
            <w:szCs w:val="24"/>
          </w:rPr>
          <w:t>Vínculos sociales y difusión de las Luces en el Reino de Guatemala (1700-1808)</w:t>
        </w:r>
      </w:hyperlink>
      <w:r w:rsidR="00B40E1E" w:rsidRPr="006D575F">
        <w:rPr>
          <w:rFonts w:ascii="Arial" w:hAnsi="Arial" w:cs="Arial"/>
          <w:sz w:val="24"/>
          <w:szCs w:val="24"/>
        </w:rPr>
        <w:t xml:space="preserve"> Presentación del Boletín AFEHC No. 63 de diciembre del 2014. </w:t>
      </w:r>
    </w:p>
    <w:p w:rsidR="00B40E1E" w:rsidRPr="006D575F" w:rsidRDefault="00820A45" w:rsidP="007A6FDB">
      <w:pPr>
        <w:spacing w:before="100" w:beforeAutospacing="1" w:after="100" w:afterAutospacing="1" w:line="240" w:lineRule="auto"/>
        <w:jc w:val="both"/>
        <w:outlineLvl w:val="2"/>
        <w:rPr>
          <w:rFonts w:ascii="Arial" w:eastAsia="Times New Roman" w:hAnsi="Arial" w:cs="Arial"/>
          <w:b/>
          <w:bCs/>
          <w:sz w:val="24"/>
          <w:szCs w:val="24"/>
          <w:lang w:eastAsia="es-ES"/>
        </w:rPr>
      </w:pPr>
      <w:hyperlink r:id="rId40" w:history="1">
        <w:r w:rsidR="00B40E1E" w:rsidRPr="006D575F">
          <w:rPr>
            <w:rStyle w:val="Hipervnculo"/>
            <w:rFonts w:ascii="Arial" w:eastAsia="Times New Roman" w:hAnsi="Arial" w:cs="Arial"/>
            <w:b/>
            <w:bCs/>
            <w:sz w:val="24"/>
            <w:szCs w:val="24"/>
            <w:lang w:eastAsia="es-ES"/>
          </w:rPr>
          <w:t>La Iglesia católica en las más recientes historiografías de México y Argentina. Religión, modernidad y secularización</w:t>
        </w:r>
      </w:hyperlink>
    </w:p>
    <w:p w:rsidR="00B40E1E" w:rsidRPr="006D575F" w:rsidRDefault="00B40E1E" w:rsidP="007A6FDB">
      <w:pPr>
        <w:spacing w:after="0" w:line="240" w:lineRule="auto"/>
        <w:jc w:val="both"/>
        <w:rPr>
          <w:rFonts w:ascii="Arial" w:eastAsia="Times New Roman" w:hAnsi="Arial" w:cs="Arial"/>
          <w:sz w:val="24"/>
          <w:szCs w:val="24"/>
          <w:lang w:eastAsia="es-ES"/>
        </w:rPr>
      </w:pPr>
      <w:r w:rsidRPr="006D575F">
        <w:rPr>
          <w:rFonts w:ascii="Arial" w:eastAsia="Times New Roman" w:hAnsi="Arial" w:cs="Arial"/>
          <w:sz w:val="24"/>
          <w:szCs w:val="24"/>
          <w:lang w:eastAsia="es-ES"/>
        </w:rPr>
        <w:t>M Lida - Historia mexicana, 2007 – JSTOR</w:t>
      </w:r>
    </w:p>
    <w:p w:rsidR="00B40E1E" w:rsidRPr="006D575F" w:rsidRDefault="00820A45" w:rsidP="007A6FDB">
      <w:pPr>
        <w:spacing w:before="100" w:beforeAutospacing="1" w:after="100" w:afterAutospacing="1" w:line="240" w:lineRule="auto"/>
        <w:jc w:val="both"/>
        <w:outlineLvl w:val="2"/>
        <w:rPr>
          <w:rFonts w:ascii="Arial" w:eastAsia="Times New Roman" w:hAnsi="Arial" w:cs="Arial"/>
          <w:b/>
          <w:bCs/>
          <w:sz w:val="24"/>
          <w:szCs w:val="24"/>
          <w:lang w:eastAsia="es-ES"/>
        </w:rPr>
      </w:pPr>
      <w:hyperlink r:id="rId41" w:history="1">
        <w:r w:rsidR="00B40E1E" w:rsidRPr="006D575F">
          <w:rPr>
            <w:rStyle w:val="Hipervnculo"/>
            <w:rFonts w:ascii="Arial" w:eastAsia="Times New Roman" w:hAnsi="Arial" w:cs="Arial"/>
            <w:b/>
            <w:bCs/>
            <w:sz w:val="24"/>
            <w:szCs w:val="24"/>
            <w:lang w:eastAsia="es-ES"/>
          </w:rPr>
          <w:t>La reactivación misional en los últimos años del siglo XVIII</w:t>
        </w:r>
      </w:hyperlink>
    </w:p>
    <w:p w:rsidR="00B40E1E" w:rsidRPr="006D575F" w:rsidRDefault="00820A45" w:rsidP="007A6FDB">
      <w:pPr>
        <w:spacing w:before="100" w:beforeAutospacing="1" w:after="100" w:afterAutospacing="1" w:line="240" w:lineRule="auto"/>
        <w:jc w:val="both"/>
        <w:outlineLvl w:val="2"/>
        <w:rPr>
          <w:rFonts w:ascii="Arial" w:eastAsia="Times New Roman" w:hAnsi="Arial" w:cs="Arial"/>
          <w:b/>
          <w:bCs/>
          <w:sz w:val="24"/>
          <w:szCs w:val="24"/>
          <w:lang w:eastAsia="es-ES"/>
        </w:rPr>
      </w:pPr>
      <w:hyperlink r:id="rId42" w:history="1">
        <w:r w:rsidR="00B40E1E" w:rsidRPr="006D575F">
          <w:rPr>
            <w:rStyle w:val="Hipervnculo"/>
            <w:rFonts w:ascii="Arial" w:eastAsia="Times New Roman" w:hAnsi="Arial" w:cs="Arial"/>
            <w:b/>
            <w:bCs/>
            <w:sz w:val="24"/>
            <w:szCs w:val="24"/>
            <w:lang w:eastAsia="es-ES"/>
          </w:rPr>
          <w:t>La escuela de primeras letras en el Reino de Guatemala: el caso de la provincia de Honduras</w:t>
        </w:r>
      </w:hyperlink>
      <w:r w:rsidR="00B40E1E" w:rsidRPr="006D575F">
        <w:rPr>
          <w:rFonts w:ascii="Arial" w:eastAsia="Times New Roman" w:hAnsi="Arial" w:cs="Arial"/>
          <w:sz w:val="24"/>
          <w:szCs w:val="24"/>
          <w:lang w:eastAsia="es-ES"/>
        </w:rPr>
        <w:t>Víctor Cruz-Reyes - Educação e filosofia, 2008 - seer.ufu.br</w:t>
      </w:r>
    </w:p>
    <w:p w:rsidR="00B40E1E" w:rsidRPr="006D575F" w:rsidRDefault="00820A45" w:rsidP="007A6FDB">
      <w:pPr>
        <w:spacing w:before="100" w:beforeAutospacing="1" w:after="100" w:afterAutospacing="1" w:line="240" w:lineRule="auto"/>
        <w:jc w:val="both"/>
        <w:outlineLvl w:val="2"/>
        <w:rPr>
          <w:rFonts w:ascii="Arial" w:eastAsia="Times New Roman" w:hAnsi="Arial" w:cs="Arial"/>
          <w:sz w:val="24"/>
          <w:szCs w:val="24"/>
          <w:lang w:eastAsia="es-ES"/>
        </w:rPr>
      </w:pPr>
      <w:hyperlink r:id="rId43" w:history="1">
        <w:r w:rsidR="00B40E1E" w:rsidRPr="006D575F">
          <w:rPr>
            <w:rStyle w:val="Hipervnculo"/>
            <w:rFonts w:ascii="Arial" w:eastAsia="Times New Roman" w:hAnsi="Arial" w:cs="Arial"/>
            <w:b/>
            <w:bCs/>
            <w:sz w:val="24"/>
            <w:szCs w:val="24"/>
            <w:lang w:eastAsia="es-ES"/>
          </w:rPr>
          <w:t>Educación y papel de la mujer en el periodo de transición del siglo XVIII a XIX en Mesoamérica</w:t>
        </w:r>
      </w:hyperlink>
      <w:r w:rsidR="00B40E1E" w:rsidRPr="006D575F">
        <w:rPr>
          <w:rFonts w:ascii="Arial" w:eastAsia="Times New Roman" w:hAnsi="Arial" w:cs="Arial"/>
          <w:sz w:val="24"/>
          <w:szCs w:val="24"/>
          <w:lang w:eastAsia="es-ES"/>
        </w:rPr>
        <w:t xml:space="preserve">Víctor </w:t>
      </w:r>
      <w:r w:rsidR="00B40E1E" w:rsidRPr="006D575F">
        <w:rPr>
          <w:rFonts w:ascii="Arial" w:eastAsia="Times New Roman" w:hAnsi="Arial" w:cs="Arial"/>
          <w:b/>
          <w:bCs/>
          <w:sz w:val="24"/>
          <w:szCs w:val="24"/>
          <w:lang w:eastAsia="es-ES"/>
        </w:rPr>
        <w:t>Cruz</w:t>
      </w:r>
      <w:r w:rsidR="00B40E1E" w:rsidRPr="006D575F">
        <w:rPr>
          <w:rFonts w:ascii="Arial" w:eastAsia="Times New Roman" w:hAnsi="Arial" w:cs="Arial"/>
          <w:sz w:val="24"/>
          <w:szCs w:val="24"/>
          <w:lang w:eastAsia="es-ES"/>
        </w:rPr>
        <w:t xml:space="preserve"> Reyes - Revista </w:t>
      </w:r>
      <w:r w:rsidR="00B40E1E" w:rsidRPr="006D575F">
        <w:rPr>
          <w:rFonts w:ascii="Arial" w:eastAsia="Times New Roman" w:hAnsi="Arial" w:cs="Arial"/>
          <w:b/>
          <w:bCs/>
          <w:sz w:val="24"/>
          <w:szCs w:val="24"/>
          <w:lang w:eastAsia="es-ES"/>
        </w:rPr>
        <w:t xml:space="preserve">Historia </w:t>
      </w:r>
      <w:r w:rsidR="00B40E1E" w:rsidRPr="006D575F">
        <w:rPr>
          <w:rFonts w:ascii="Arial" w:eastAsia="Times New Roman" w:hAnsi="Arial" w:cs="Arial"/>
          <w:sz w:val="24"/>
          <w:szCs w:val="24"/>
          <w:lang w:eastAsia="es-ES"/>
        </w:rPr>
        <w:t xml:space="preserve">de la </w:t>
      </w:r>
      <w:r w:rsidR="00B40E1E" w:rsidRPr="006D575F">
        <w:rPr>
          <w:rFonts w:ascii="Arial" w:eastAsia="Times New Roman" w:hAnsi="Arial" w:cs="Arial"/>
          <w:b/>
          <w:bCs/>
          <w:sz w:val="24"/>
          <w:szCs w:val="24"/>
          <w:lang w:eastAsia="es-ES"/>
        </w:rPr>
        <w:t>Educación.</w:t>
      </w:r>
      <w:r w:rsidR="00B40E1E" w:rsidRPr="006D575F">
        <w:rPr>
          <w:rFonts w:ascii="Arial" w:eastAsia="Times New Roman" w:hAnsi="Arial" w:cs="Arial"/>
          <w:sz w:val="24"/>
          <w:szCs w:val="24"/>
          <w:lang w:eastAsia="es-ES"/>
        </w:rPr>
        <w:t xml:space="preserve"> 2002                </w:t>
      </w:r>
      <w:hyperlink r:id="rId44" w:history="1">
        <w:r w:rsidR="00B40E1E" w:rsidRPr="006D575F">
          <w:rPr>
            <w:rStyle w:val="Hipervnculo"/>
            <w:rFonts w:ascii="Arial" w:eastAsia="Times New Roman" w:hAnsi="Arial" w:cs="Arial"/>
            <w:sz w:val="24"/>
            <w:szCs w:val="24"/>
            <w:lang w:eastAsia="es-ES"/>
          </w:rPr>
          <w:t>http://pares.mcu.es/</w:t>
        </w:r>
      </w:hyperlink>
    </w:p>
    <w:p w:rsidR="00B40E1E" w:rsidRPr="006D575F" w:rsidRDefault="00B40E1E" w:rsidP="007A6FDB">
      <w:pPr>
        <w:spacing w:after="0" w:line="240" w:lineRule="auto"/>
        <w:jc w:val="both"/>
        <w:rPr>
          <w:rFonts w:ascii="Arial" w:eastAsia="Times New Roman" w:hAnsi="Arial" w:cs="Arial"/>
          <w:sz w:val="24"/>
          <w:szCs w:val="24"/>
          <w:lang w:eastAsia="es-ES"/>
        </w:rPr>
      </w:pPr>
    </w:p>
    <w:p w:rsidR="00B40E1E" w:rsidRPr="006D575F" w:rsidRDefault="00B40E1E" w:rsidP="007A6FDB">
      <w:pPr>
        <w:jc w:val="both"/>
        <w:rPr>
          <w:rFonts w:ascii="Arial" w:eastAsia="Times New Roman" w:hAnsi="Arial" w:cs="Arial"/>
          <w:b/>
          <w:bCs/>
          <w:sz w:val="24"/>
          <w:szCs w:val="24"/>
          <w:lang w:eastAsia="es-ES"/>
        </w:rPr>
      </w:pPr>
      <w:r w:rsidRPr="006D575F">
        <w:rPr>
          <w:rFonts w:ascii="Arial" w:hAnsi="Arial" w:cs="Arial"/>
          <w:sz w:val="24"/>
          <w:szCs w:val="24"/>
        </w:rPr>
        <w:t xml:space="preserve">María Teresa Álvarez. La </w:t>
      </w:r>
      <w:r w:rsidRPr="006D575F">
        <w:rPr>
          <w:rFonts w:ascii="Arial" w:eastAsia="Times New Roman" w:hAnsi="Arial" w:cs="Arial"/>
          <w:b/>
          <w:bCs/>
          <w:sz w:val="24"/>
          <w:szCs w:val="24"/>
          <w:lang w:eastAsia="es-ES"/>
        </w:rPr>
        <w:t xml:space="preserve">secularización de doctrinas y misiones en el arzobispado de México, 1749-1789 en </w:t>
      </w:r>
      <w:hyperlink r:id="rId45" w:history="1">
        <w:r w:rsidRPr="006D575F">
          <w:rPr>
            <w:rStyle w:val="Hipervnculo"/>
            <w:rFonts w:ascii="Arial" w:eastAsia="Times New Roman" w:hAnsi="Arial" w:cs="Arial"/>
            <w:b/>
            <w:bCs/>
            <w:sz w:val="24"/>
            <w:szCs w:val="24"/>
            <w:lang w:eastAsia="es-ES"/>
          </w:rPr>
          <w:t>https://www.academia.edu</w:t>
        </w:r>
      </w:hyperlink>
    </w:p>
    <w:p w:rsidR="00B40E1E" w:rsidRPr="006D575F" w:rsidRDefault="00B40E1E" w:rsidP="007A6FDB">
      <w:pPr>
        <w:jc w:val="both"/>
        <w:rPr>
          <w:rFonts w:ascii="Arial" w:eastAsia="Times New Roman" w:hAnsi="Arial" w:cs="Arial"/>
          <w:b/>
          <w:bCs/>
          <w:sz w:val="24"/>
          <w:szCs w:val="24"/>
          <w:lang w:eastAsia="es-ES"/>
        </w:rPr>
      </w:pPr>
    </w:p>
    <w:p w:rsidR="00B40E1E" w:rsidRPr="006D575F" w:rsidRDefault="00B40E1E" w:rsidP="007A6FDB">
      <w:pPr>
        <w:pStyle w:val="Ttulo3"/>
        <w:spacing w:before="0"/>
        <w:jc w:val="both"/>
        <w:rPr>
          <w:rFonts w:ascii="Arial" w:eastAsia="Times New Roman" w:hAnsi="Arial" w:cs="Arial"/>
          <w:b w:val="0"/>
          <w:bCs w:val="0"/>
          <w:color w:val="auto"/>
          <w:sz w:val="24"/>
          <w:szCs w:val="24"/>
          <w:lang w:eastAsia="es-ES"/>
        </w:rPr>
      </w:pPr>
      <w:r w:rsidRPr="006D575F">
        <w:rPr>
          <w:rFonts w:ascii="Arial" w:eastAsia="Times New Roman" w:hAnsi="Arial" w:cs="Arial"/>
          <w:color w:val="auto"/>
          <w:sz w:val="24"/>
          <w:szCs w:val="24"/>
          <w:lang w:eastAsia="es-ES"/>
        </w:rPr>
        <w:t xml:space="preserve">Beltrán  Cely, William Mauricio (2007) </w:t>
      </w:r>
      <w:r w:rsidRPr="006D575F">
        <w:rPr>
          <w:rFonts w:ascii="Arial" w:eastAsia="Times New Roman" w:hAnsi="Arial" w:cs="Arial"/>
          <w:i/>
          <w:iCs/>
          <w:color w:val="auto"/>
          <w:sz w:val="24"/>
          <w:szCs w:val="24"/>
          <w:lang w:eastAsia="es-ES"/>
        </w:rPr>
        <w:t>La sociología de la Religión: Una revisión del Estado del arte.</w:t>
      </w:r>
      <w:r w:rsidRPr="006D575F">
        <w:rPr>
          <w:rFonts w:ascii="Arial" w:eastAsia="Times New Roman" w:hAnsi="Arial" w:cs="Arial"/>
          <w:color w:val="auto"/>
          <w:sz w:val="24"/>
          <w:szCs w:val="24"/>
          <w:lang w:eastAsia="es-ES"/>
        </w:rPr>
        <w:t xml:space="preserve"> In: Creer y poder hoy: memorias de la cátedra Manuel Ancízar. Universidad Nacional de Colombia. Facultad de Ciencias Humanas, Bogotá, pp. 75-94. </w:t>
      </w:r>
      <w:r w:rsidRPr="006D575F">
        <w:rPr>
          <w:rStyle w:val="CitaHTML"/>
          <w:rFonts w:ascii="Arial" w:hAnsi="Arial" w:cs="Arial"/>
          <w:color w:val="auto"/>
          <w:sz w:val="24"/>
          <w:szCs w:val="24"/>
        </w:rPr>
        <w:t>ebiblioteca.org</w:t>
      </w:r>
    </w:p>
    <w:p w:rsidR="00B40E1E" w:rsidRPr="006D575F" w:rsidRDefault="00B40E1E" w:rsidP="007A6FDB">
      <w:pPr>
        <w:jc w:val="both"/>
        <w:rPr>
          <w:rFonts w:ascii="Arial" w:hAnsi="Arial" w:cs="Arial"/>
          <w:sz w:val="24"/>
          <w:szCs w:val="24"/>
          <w:lang w:eastAsia="es-ES"/>
        </w:rPr>
      </w:pPr>
    </w:p>
    <w:p w:rsidR="00B40E1E" w:rsidRPr="006D575F" w:rsidRDefault="00820A45" w:rsidP="007A6FDB">
      <w:pPr>
        <w:pStyle w:val="Ttulo3"/>
        <w:spacing w:before="0"/>
        <w:jc w:val="both"/>
        <w:rPr>
          <w:rFonts w:ascii="Arial" w:eastAsia="Times New Roman" w:hAnsi="Arial" w:cs="Arial"/>
          <w:b w:val="0"/>
          <w:bCs w:val="0"/>
          <w:color w:val="auto"/>
          <w:sz w:val="24"/>
          <w:szCs w:val="24"/>
          <w:lang w:eastAsia="es-ES"/>
        </w:rPr>
      </w:pPr>
      <w:hyperlink r:id="rId46" w:history="1">
        <w:r w:rsidR="00B40E1E" w:rsidRPr="006D575F">
          <w:rPr>
            <w:rFonts w:ascii="Arial" w:eastAsia="Times New Roman" w:hAnsi="Arial" w:cs="Arial"/>
            <w:b w:val="0"/>
            <w:bCs w:val="0"/>
            <w:color w:val="auto"/>
            <w:sz w:val="24"/>
            <w:szCs w:val="24"/>
            <w:lang w:eastAsia="es-ES"/>
          </w:rPr>
          <w:t>Historia de la secularización - Universidad Autónoma de Colombia</w:t>
        </w:r>
      </w:hyperlink>
      <w:r w:rsidR="00B40E1E" w:rsidRPr="006D575F">
        <w:rPr>
          <w:rFonts w:ascii="Arial" w:eastAsia="Times New Roman" w:hAnsi="Arial" w:cs="Arial"/>
          <w:b w:val="0"/>
          <w:bCs w:val="0"/>
          <w:color w:val="auto"/>
          <w:sz w:val="24"/>
          <w:szCs w:val="24"/>
          <w:lang w:eastAsia="es-ES"/>
        </w:rPr>
        <w:t xml:space="preserve"> en:</w:t>
      </w:r>
    </w:p>
    <w:p w:rsidR="00B40E1E" w:rsidRPr="006D575F" w:rsidRDefault="00820A45" w:rsidP="007A6FDB">
      <w:pPr>
        <w:shd w:val="clear" w:color="auto" w:fill="FFFFFF"/>
        <w:spacing w:after="0" w:line="240" w:lineRule="atLeast"/>
        <w:jc w:val="both"/>
        <w:rPr>
          <w:rFonts w:ascii="Arial" w:eastAsia="Times New Roman" w:hAnsi="Arial" w:cs="Arial"/>
          <w:sz w:val="24"/>
          <w:szCs w:val="24"/>
          <w:lang w:eastAsia="es-ES"/>
        </w:rPr>
      </w:pPr>
      <w:hyperlink r:id="rId47" w:history="1">
        <w:r w:rsidR="00B40E1E" w:rsidRPr="006D575F">
          <w:rPr>
            <w:rStyle w:val="Hipervnculo"/>
            <w:rFonts w:ascii="Arial" w:eastAsia="Times New Roman" w:hAnsi="Arial" w:cs="Arial"/>
            <w:sz w:val="24"/>
            <w:szCs w:val="24"/>
            <w:lang w:eastAsia="es-ES"/>
          </w:rPr>
          <w:t>http://www.fuac.edu.com</w:t>
        </w:r>
      </w:hyperlink>
    </w:p>
    <w:p w:rsidR="00B40E1E" w:rsidRPr="006D575F" w:rsidRDefault="00B40E1E" w:rsidP="007A6FDB">
      <w:pPr>
        <w:pStyle w:val="Prrafodelista"/>
        <w:spacing w:line="360" w:lineRule="auto"/>
        <w:ind w:left="644"/>
        <w:jc w:val="both"/>
        <w:rPr>
          <w:rFonts w:ascii="Arial" w:hAnsi="Arial" w:cs="Arial"/>
          <w:sz w:val="24"/>
          <w:szCs w:val="24"/>
        </w:rPr>
      </w:pPr>
    </w:p>
    <w:p w:rsidR="002C3327" w:rsidRPr="000B6D0B" w:rsidRDefault="002C3327" w:rsidP="000B6D0B">
      <w:pPr>
        <w:spacing w:line="360" w:lineRule="auto"/>
        <w:jc w:val="both"/>
        <w:rPr>
          <w:rFonts w:ascii="Arial" w:hAnsi="Arial" w:cs="Arial"/>
          <w:sz w:val="24"/>
          <w:szCs w:val="24"/>
        </w:rPr>
      </w:pPr>
    </w:p>
    <w:p w:rsidR="00B40E1E" w:rsidRPr="006D575F" w:rsidRDefault="00B40E1E" w:rsidP="007A6FDB">
      <w:pPr>
        <w:spacing w:line="360" w:lineRule="auto"/>
        <w:jc w:val="both"/>
        <w:rPr>
          <w:rFonts w:ascii="Arial" w:hAnsi="Arial" w:cs="Arial"/>
          <w:b/>
          <w:sz w:val="24"/>
          <w:szCs w:val="24"/>
          <w:u w:val="single"/>
        </w:rPr>
      </w:pPr>
      <w:r w:rsidRPr="006D575F">
        <w:rPr>
          <w:rFonts w:ascii="Arial" w:hAnsi="Arial" w:cs="Arial"/>
          <w:b/>
          <w:sz w:val="24"/>
          <w:szCs w:val="24"/>
          <w:u w:val="single"/>
        </w:rPr>
        <w:t xml:space="preserve">Bibliográficas: </w:t>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1-Bardales, Rafael. </w:t>
      </w:r>
      <w:r w:rsidRPr="006D575F">
        <w:rPr>
          <w:rFonts w:ascii="Arial" w:hAnsi="Arial" w:cs="Arial"/>
          <w:i/>
          <w:sz w:val="24"/>
          <w:szCs w:val="24"/>
        </w:rPr>
        <w:t>Historia de la Educación en Honduras</w:t>
      </w:r>
      <w:r w:rsidRPr="006D575F">
        <w:rPr>
          <w:rFonts w:ascii="Arial" w:hAnsi="Arial" w:cs="Arial"/>
          <w:sz w:val="24"/>
          <w:szCs w:val="24"/>
        </w:rPr>
        <w:t>. 3ed. Mexica, imprenta Aldina, 1957, 147p.</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2-Carias, </w:t>
      </w:r>
      <w:r w:rsidRPr="006D575F">
        <w:rPr>
          <w:rFonts w:ascii="Arial" w:hAnsi="Arial" w:cs="Arial"/>
          <w:i/>
          <w:sz w:val="24"/>
          <w:szCs w:val="24"/>
        </w:rPr>
        <w:t>Marcos. Historia de la iglesia en Honduras</w:t>
      </w:r>
      <w:r w:rsidRPr="006D575F">
        <w:rPr>
          <w:rFonts w:ascii="Arial" w:hAnsi="Arial" w:cs="Arial"/>
          <w:sz w:val="24"/>
          <w:szCs w:val="24"/>
        </w:rPr>
        <w:t>. Tegucigalpa, Editorial Guymuras, 1991</w:t>
      </w:r>
    </w:p>
    <w:p w:rsidR="00B40E1E" w:rsidRPr="006D575F" w:rsidRDefault="00B40E1E" w:rsidP="007A6FDB">
      <w:pPr>
        <w:ind w:right="850"/>
        <w:jc w:val="both"/>
        <w:rPr>
          <w:rFonts w:ascii="Arial" w:hAnsi="Arial" w:cs="Arial"/>
          <w:sz w:val="24"/>
          <w:szCs w:val="24"/>
        </w:rPr>
      </w:pPr>
      <w:r w:rsidRPr="006D575F">
        <w:rPr>
          <w:rStyle w:val="nfasis"/>
          <w:rFonts w:ascii="Arial" w:hAnsi="Arial" w:cs="Arial"/>
          <w:sz w:val="24"/>
          <w:szCs w:val="24"/>
        </w:rPr>
        <w:t>3 - Crónica de la provincia del Santísimo nombre de Jesús de Guatemala de la orden de n. seráfico padre san Francisco en el reino de la Nueva España</w:t>
      </w:r>
      <w:r w:rsidRPr="006D575F">
        <w:rPr>
          <w:rFonts w:ascii="Arial" w:hAnsi="Arial" w:cs="Arial"/>
          <w:sz w:val="24"/>
          <w:szCs w:val="24"/>
        </w:rPr>
        <w:t>‬, Volumen 4, Guatemala: Tipografía Nacional, 1944-46</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4-Dobbelaere, Karel. Secularización: un concepto multidimensional. </w:t>
      </w:r>
      <w:r w:rsidR="004F0EB9" w:rsidRPr="006D575F">
        <w:rPr>
          <w:rFonts w:ascii="Arial" w:hAnsi="Arial" w:cs="Arial"/>
          <w:sz w:val="24"/>
          <w:szCs w:val="24"/>
        </w:rPr>
        <w:t>México</w:t>
      </w:r>
      <w:r w:rsidRPr="006D575F">
        <w:rPr>
          <w:rFonts w:ascii="Arial" w:hAnsi="Arial" w:cs="Arial"/>
          <w:sz w:val="24"/>
          <w:szCs w:val="24"/>
        </w:rPr>
        <w:t>, Sage</w:t>
      </w:r>
      <w:r w:rsidR="004F0EB9" w:rsidRPr="006D575F">
        <w:rPr>
          <w:rFonts w:ascii="Arial" w:hAnsi="Arial" w:cs="Arial"/>
          <w:sz w:val="24"/>
          <w:szCs w:val="24"/>
        </w:rPr>
        <w:t>Publication,</w:t>
      </w:r>
      <w:r w:rsidRPr="006D575F">
        <w:rPr>
          <w:rFonts w:ascii="Arial" w:hAnsi="Arial" w:cs="Arial"/>
          <w:sz w:val="24"/>
          <w:szCs w:val="24"/>
        </w:rPr>
        <w:tab/>
        <w:t>CurrentSociology</w:t>
      </w:r>
      <w:r w:rsidR="004F0EB9" w:rsidRPr="006D575F">
        <w:rPr>
          <w:rFonts w:ascii="Arial" w:hAnsi="Arial" w:cs="Arial"/>
          <w:sz w:val="24"/>
          <w:szCs w:val="24"/>
        </w:rPr>
        <w:t>, Vol.29, No</w:t>
      </w:r>
      <w:r w:rsidRPr="006D575F">
        <w:rPr>
          <w:rFonts w:ascii="Arial" w:hAnsi="Arial" w:cs="Arial"/>
          <w:sz w:val="24"/>
          <w:szCs w:val="24"/>
        </w:rPr>
        <w:t xml:space="preserve"> 2,1994.149p.</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5- Dym, Jordana</w:t>
      </w:r>
      <w:r w:rsidRPr="006D575F">
        <w:rPr>
          <w:rFonts w:ascii="Arial" w:hAnsi="Arial" w:cs="Arial"/>
          <w:i/>
          <w:sz w:val="24"/>
          <w:szCs w:val="24"/>
        </w:rPr>
        <w:t>Centroamérica durante las revoluciones Atlánticas: El vocabulario Político</w:t>
      </w:r>
      <w:r w:rsidRPr="006D575F">
        <w:rPr>
          <w:rFonts w:ascii="Arial" w:hAnsi="Arial" w:cs="Arial"/>
          <w:sz w:val="24"/>
          <w:szCs w:val="24"/>
        </w:rPr>
        <w:t xml:space="preserve"> Herrera, Sajid., 1750-1850. San Salvador, IEESFORD Editores, 2014,301p</w:t>
      </w:r>
      <w:r w:rsidRPr="006D575F">
        <w:rPr>
          <w:rFonts w:ascii="Arial" w:hAnsi="Arial" w:cs="Arial"/>
          <w:sz w:val="24"/>
          <w:szCs w:val="24"/>
        </w:rPr>
        <w:tab/>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6-Martínez Castillo, Mario Felipe. </w:t>
      </w:r>
      <w:r w:rsidRPr="006D575F">
        <w:rPr>
          <w:rFonts w:ascii="Arial" w:hAnsi="Arial" w:cs="Arial"/>
          <w:i/>
          <w:sz w:val="24"/>
          <w:szCs w:val="24"/>
        </w:rPr>
        <w:t>Capítulos sobre el Colegio Tridentino de Comayagua y la Educación colonial en Honduras.</w:t>
      </w:r>
      <w:r w:rsidRPr="006D575F">
        <w:rPr>
          <w:rFonts w:ascii="Arial" w:hAnsi="Arial" w:cs="Arial"/>
          <w:sz w:val="24"/>
          <w:szCs w:val="24"/>
        </w:rPr>
        <w:t xml:space="preserve"> Tegucigalpa/E, 1967,54pgs</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7-Leiva, Héctor. </w:t>
      </w:r>
      <w:r w:rsidRPr="006D575F">
        <w:rPr>
          <w:rFonts w:ascii="Arial" w:hAnsi="Arial" w:cs="Arial"/>
          <w:i/>
          <w:sz w:val="24"/>
          <w:szCs w:val="24"/>
        </w:rPr>
        <w:t>Documentos Coloniales de Honduras</w:t>
      </w:r>
      <w:r w:rsidRPr="006D575F">
        <w:rPr>
          <w:rFonts w:ascii="Arial" w:hAnsi="Arial" w:cs="Arial"/>
          <w:sz w:val="24"/>
          <w:szCs w:val="24"/>
        </w:rPr>
        <w:t>, Tegucigalpa, Centro de Estudios Históricos y Sociales para el Desarrollo de Honduras (CEHDES), 1991,349pags</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8-Newson, Linda .</w:t>
      </w:r>
      <w:r w:rsidRPr="006D575F">
        <w:rPr>
          <w:rFonts w:ascii="Arial" w:hAnsi="Arial" w:cs="Arial"/>
          <w:i/>
          <w:sz w:val="24"/>
          <w:szCs w:val="24"/>
        </w:rPr>
        <w:t>El costo de la conquista</w:t>
      </w:r>
      <w:r w:rsidRPr="006D575F">
        <w:rPr>
          <w:rFonts w:ascii="Arial" w:hAnsi="Arial" w:cs="Arial"/>
          <w:sz w:val="24"/>
          <w:szCs w:val="24"/>
        </w:rPr>
        <w:t>. Tegucigalpa, Ed. Guymuras1992. 529p</w:t>
      </w:r>
    </w:p>
    <w:p w:rsidR="004F0EB9" w:rsidRPr="006D575F" w:rsidRDefault="00B40E1E" w:rsidP="007A6FDB">
      <w:pPr>
        <w:ind w:right="850"/>
        <w:jc w:val="both"/>
        <w:rPr>
          <w:rFonts w:ascii="Arial" w:hAnsi="Arial" w:cs="Arial"/>
          <w:sz w:val="24"/>
          <w:szCs w:val="24"/>
        </w:rPr>
      </w:pPr>
      <w:r w:rsidRPr="006D575F">
        <w:rPr>
          <w:rFonts w:ascii="Arial" w:hAnsi="Arial" w:cs="Arial"/>
          <w:sz w:val="24"/>
          <w:szCs w:val="24"/>
        </w:rPr>
        <w:t>9-Oyuela, Leticia. Fe, riqueza y poder. Tegucigalpa, Instituto Hondureño de Cultura Hispánica 1992,233p</w:t>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10-Tojeira, José María. </w:t>
      </w:r>
      <w:r w:rsidRPr="006D575F">
        <w:rPr>
          <w:rFonts w:ascii="Arial" w:hAnsi="Arial" w:cs="Arial"/>
          <w:i/>
          <w:sz w:val="24"/>
          <w:szCs w:val="24"/>
        </w:rPr>
        <w:t>Panorama Histórico de la iglesia en Historia de Honduras</w:t>
      </w:r>
      <w:r w:rsidRPr="006D575F">
        <w:rPr>
          <w:rFonts w:ascii="Arial" w:hAnsi="Arial" w:cs="Arial"/>
          <w:sz w:val="24"/>
          <w:szCs w:val="24"/>
        </w:rPr>
        <w:t>. Centro de Documentación de Honduras (CEDOH), 1990, 255pgs</w:t>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11 -Reina Valenzuela, José.  </w:t>
      </w:r>
      <w:r w:rsidRPr="006D575F">
        <w:rPr>
          <w:rFonts w:ascii="Arial" w:hAnsi="Arial" w:cs="Arial"/>
          <w:i/>
          <w:sz w:val="24"/>
          <w:szCs w:val="24"/>
        </w:rPr>
        <w:t>Historia eclesiástica de Honduras</w:t>
      </w:r>
      <w:r w:rsidRPr="006D575F">
        <w:rPr>
          <w:rFonts w:ascii="Arial" w:hAnsi="Arial" w:cs="Arial"/>
          <w:sz w:val="24"/>
          <w:szCs w:val="24"/>
        </w:rPr>
        <w:t>. Tegucigalpa, 1983, tomo II.</w:t>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12-Sierra, Rolando. </w:t>
      </w:r>
      <w:r w:rsidRPr="006D575F">
        <w:rPr>
          <w:rFonts w:ascii="Arial" w:hAnsi="Arial" w:cs="Arial"/>
          <w:i/>
          <w:sz w:val="24"/>
          <w:szCs w:val="24"/>
        </w:rPr>
        <w:t>Iglesia y liberalismo en Honduras en el siglo XIX</w:t>
      </w:r>
      <w:r w:rsidRPr="006D575F">
        <w:rPr>
          <w:rFonts w:ascii="Arial" w:hAnsi="Arial" w:cs="Arial"/>
          <w:sz w:val="24"/>
          <w:szCs w:val="24"/>
        </w:rPr>
        <w:t>, Tegucigalpa, Ediciones Subirana, 1993. 93p.</w:t>
      </w: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13-Sierra, Rolando. </w:t>
      </w:r>
      <w:r w:rsidRPr="006D575F">
        <w:rPr>
          <w:rFonts w:ascii="Arial" w:hAnsi="Arial" w:cs="Arial"/>
          <w:i/>
          <w:sz w:val="24"/>
          <w:szCs w:val="24"/>
        </w:rPr>
        <w:t>Fuentes y bibliografía para el estudio de la historia de la     iglesia en Honduras</w:t>
      </w:r>
      <w:r w:rsidRPr="006D575F">
        <w:rPr>
          <w:rFonts w:ascii="Arial" w:hAnsi="Arial" w:cs="Arial"/>
          <w:sz w:val="24"/>
          <w:szCs w:val="24"/>
        </w:rPr>
        <w:t>. Choluteca, Centro de publicaciones, Obispado de Choluteca, 1993, 106p.</w:t>
      </w:r>
    </w:p>
    <w:p w:rsidR="00B40E1E" w:rsidRPr="006D575F" w:rsidRDefault="00B40E1E" w:rsidP="007A6FDB">
      <w:pPr>
        <w:jc w:val="both"/>
        <w:rPr>
          <w:rFonts w:ascii="Arial" w:hAnsi="Arial" w:cs="Arial"/>
          <w:sz w:val="24"/>
          <w:szCs w:val="24"/>
        </w:rPr>
      </w:pPr>
    </w:p>
    <w:p w:rsidR="00B40E1E" w:rsidRPr="006D575F" w:rsidRDefault="00B40E1E" w:rsidP="007A6FDB">
      <w:pPr>
        <w:jc w:val="both"/>
        <w:rPr>
          <w:rFonts w:ascii="Arial" w:hAnsi="Arial" w:cs="Arial"/>
          <w:sz w:val="24"/>
          <w:szCs w:val="24"/>
        </w:rPr>
      </w:pPr>
      <w:r w:rsidRPr="006D575F">
        <w:rPr>
          <w:rFonts w:ascii="Arial" w:hAnsi="Arial" w:cs="Arial"/>
          <w:sz w:val="24"/>
          <w:szCs w:val="24"/>
        </w:rPr>
        <w:t xml:space="preserve">14-Sierra, Rolando. Iglesia e Historia de Honduras. </w:t>
      </w:r>
      <w:r w:rsidRPr="006D575F">
        <w:rPr>
          <w:rFonts w:ascii="Arial" w:hAnsi="Arial" w:cs="Arial"/>
          <w:i/>
          <w:sz w:val="24"/>
          <w:szCs w:val="24"/>
        </w:rPr>
        <w:t>Una introducción a la historiografía de la historia eclesiástica de Honduras</w:t>
      </w:r>
      <w:r w:rsidRPr="006D575F">
        <w:rPr>
          <w:rFonts w:ascii="Arial" w:hAnsi="Arial" w:cs="Arial"/>
          <w:sz w:val="24"/>
          <w:szCs w:val="24"/>
        </w:rPr>
        <w:t>. Choluteca, Centro de Publicaciones Obispado de Choluteca, 1993, 74p.</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15-Valle, José Cecilio del. </w:t>
      </w:r>
      <w:r w:rsidRPr="006D575F">
        <w:rPr>
          <w:rFonts w:ascii="Arial" w:hAnsi="Arial" w:cs="Arial"/>
          <w:i/>
          <w:sz w:val="24"/>
          <w:szCs w:val="24"/>
        </w:rPr>
        <w:t>Memoria sobre la Educación</w:t>
      </w:r>
      <w:r w:rsidRPr="006D575F">
        <w:rPr>
          <w:rFonts w:ascii="Arial" w:hAnsi="Arial" w:cs="Arial"/>
          <w:sz w:val="24"/>
          <w:szCs w:val="24"/>
        </w:rPr>
        <w:t>, Tegucigalpa Ministerio de Educación Pública, 1968, 55p.</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16-Velázquez, Carmela. </w:t>
      </w:r>
      <w:r w:rsidRPr="006D575F">
        <w:rPr>
          <w:rFonts w:ascii="Arial" w:hAnsi="Arial" w:cs="Arial"/>
          <w:i/>
          <w:sz w:val="24"/>
          <w:szCs w:val="24"/>
        </w:rPr>
        <w:t>Diccionario de términos coloniales</w:t>
      </w:r>
      <w:r w:rsidRPr="006D575F">
        <w:rPr>
          <w:rFonts w:ascii="Arial" w:hAnsi="Arial" w:cs="Arial"/>
          <w:sz w:val="24"/>
          <w:szCs w:val="24"/>
        </w:rPr>
        <w:t>. Editorial Universidad de Costa Rica,San José,2005.134p.</w:t>
      </w:r>
    </w:p>
    <w:p w:rsidR="00B40E1E" w:rsidRPr="006D575F" w:rsidRDefault="00B40E1E" w:rsidP="007A6FDB">
      <w:pPr>
        <w:ind w:right="850"/>
        <w:jc w:val="both"/>
        <w:rPr>
          <w:rFonts w:ascii="Arial" w:hAnsi="Arial" w:cs="Arial"/>
          <w:sz w:val="24"/>
          <w:szCs w:val="24"/>
        </w:rPr>
      </w:pPr>
      <w:r w:rsidRPr="006D575F">
        <w:rPr>
          <w:rFonts w:ascii="Arial" w:hAnsi="Arial" w:cs="Arial"/>
          <w:sz w:val="24"/>
          <w:szCs w:val="24"/>
        </w:rPr>
        <w:t xml:space="preserve">17-Webre, Stephen. </w:t>
      </w:r>
      <w:r w:rsidRPr="006D575F">
        <w:rPr>
          <w:rFonts w:ascii="Arial" w:hAnsi="Arial" w:cs="Arial"/>
          <w:i/>
          <w:sz w:val="24"/>
          <w:szCs w:val="24"/>
        </w:rPr>
        <w:t>Poder e ideología, la consolidación del sistema colonial</w:t>
      </w:r>
      <w:r w:rsidRPr="006D575F">
        <w:rPr>
          <w:rFonts w:ascii="Arial" w:hAnsi="Arial" w:cs="Arial"/>
          <w:sz w:val="24"/>
          <w:szCs w:val="24"/>
        </w:rPr>
        <w:t xml:space="preserve"> Capítulo 3 del Tomo ll Historia General de Centroamérica, periodo colonial, editor Pinto Soria p 151-214.</w:t>
      </w:r>
    </w:p>
    <w:p w:rsidR="00B40E1E" w:rsidRPr="006D575F" w:rsidRDefault="00B40E1E" w:rsidP="007A6FDB">
      <w:pPr>
        <w:ind w:right="850"/>
        <w:jc w:val="both"/>
        <w:rPr>
          <w:rFonts w:ascii="Arial" w:hAnsi="Arial" w:cs="Arial"/>
          <w:sz w:val="24"/>
          <w:szCs w:val="24"/>
        </w:rPr>
      </w:pPr>
    </w:p>
    <w:p w:rsidR="00B40E1E" w:rsidRPr="006D575F" w:rsidRDefault="00B40E1E"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F47128" w:rsidRPr="006D575F" w:rsidRDefault="00F47128" w:rsidP="007A6FDB">
      <w:pPr>
        <w:pStyle w:val="Prrafodelista"/>
        <w:spacing w:line="360" w:lineRule="auto"/>
        <w:ind w:left="644"/>
        <w:jc w:val="both"/>
        <w:rPr>
          <w:rFonts w:ascii="Arial" w:hAnsi="Arial" w:cs="Arial"/>
          <w:sz w:val="24"/>
          <w:szCs w:val="24"/>
        </w:rPr>
      </w:pPr>
    </w:p>
    <w:p w:rsidR="00B40E1E" w:rsidRPr="006D575F" w:rsidRDefault="00B40E1E" w:rsidP="007A6FDB">
      <w:pPr>
        <w:spacing w:line="360" w:lineRule="auto"/>
        <w:jc w:val="both"/>
        <w:rPr>
          <w:rFonts w:ascii="Arial" w:hAnsi="Arial" w:cs="Arial"/>
          <w:color w:val="0000FF"/>
          <w:sz w:val="24"/>
          <w:szCs w:val="24"/>
          <w:u w:val="single"/>
        </w:rPr>
      </w:pPr>
    </w:p>
    <w:p w:rsidR="00B40E1E" w:rsidRPr="006D575F" w:rsidRDefault="00B40E1E" w:rsidP="007A6FDB">
      <w:pPr>
        <w:spacing w:line="360" w:lineRule="auto"/>
        <w:jc w:val="both"/>
        <w:rPr>
          <w:rFonts w:ascii="Arial" w:hAnsi="Arial" w:cs="Arial"/>
          <w:b/>
          <w:sz w:val="24"/>
          <w:szCs w:val="24"/>
        </w:rPr>
      </w:pPr>
    </w:p>
    <w:p w:rsidR="001268C6" w:rsidRPr="006D575F" w:rsidRDefault="001268C6" w:rsidP="007A6FDB">
      <w:pPr>
        <w:shd w:val="clear" w:color="auto" w:fill="FDFFFD"/>
        <w:spacing w:before="100" w:beforeAutospacing="1" w:after="100" w:afterAutospacing="1" w:line="240" w:lineRule="auto"/>
        <w:jc w:val="both"/>
        <w:outlineLvl w:val="2"/>
        <w:rPr>
          <w:rFonts w:ascii="Arial" w:eastAsia="Times New Roman" w:hAnsi="Arial" w:cs="Arial"/>
          <w:b/>
          <w:bCs/>
          <w:color w:val="005500"/>
          <w:sz w:val="24"/>
          <w:szCs w:val="24"/>
          <w:lang w:eastAsia="es-ES"/>
        </w:rPr>
      </w:pPr>
    </w:p>
    <w:p w:rsidR="00B87EF2" w:rsidRPr="006D575F" w:rsidRDefault="00B87EF2" w:rsidP="007A6FDB">
      <w:pPr>
        <w:shd w:val="clear" w:color="auto" w:fill="FDFFFD"/>
        <w:spacing w:before="100" w:beforeAutospacing="1" w:after="100" w:afterAutospacing="1" w:line="240" w:lineRule="auto"/>
        <w:jc w:val="both"/>
        <w:outlineLvl w:val="2"/>
        <w:rPr>
          <w:rFonts w:ascii="Arial" w:eastAsia="Times New Roman" w:hAnsi="Arial" w:cs="Arial"/>
          <w:b/>
          <w:bCs/>
          <w:color w:val="005500"/>
          <w:sz w:val="24"/>
          <w:szCs w:val="24"/>
          <w:lang w:eastAsia="es-ES"/>
        </w:rPr>
      </w:pPr>
    </w:p>
    <w:p w:rsidR="00B87EF2" w:rsidRPr="006D575F" w:rsidRDefault="00B87EF2" w:rsidP="007A6FDB">
      <w:pPr>
        <w:shd w:val="clear" w:color="auto" w:fill="FDFFFD"/>
        <w:spacing w:before="100" w:beforeAutospacing="1" w:after="100" w:afterAutospacing="1" w:line="240" w:lineRule="auto"/>
        <w:jc w:val="both"/>
        <w:outlineLvl w:val="2"/>
        <w:rPr>
          <w:rFonts w:ascii="Arial" w:eastAsia="Times New Roman" w:hAnsi="Arial" w:cs="Arial"/>
          <w:b/>
          <w:bCs/>
          <w:color w:val="005500"/>
          <w:sz w:val="24"/>
          <w:szCs w:val="24"/>
          <w:lang w:eastAsia="es-ES"/>
        </w:rPr>
      </w:pPr>
    </w:p>
    <w:p w:rsidR="00B87EF2" w:rsidRPr="006D575F" w:rsidRDefault="00B87EF2" w:rsidP="007A6FDB">
      <w:pPr>
        <w:shd w:val="clear" w:color="auto" w:fill="FDFFFD"/>
        <w:spacing w:before="100" w:beforeAutospacing="1" w:after="100" w:afterAutospacing="1" w:line="240" w:lineRule="auto"/>
        <w:jc w:val="both"/>
        <w:outlineLvl w:val="2"/>
        <w:rPr>
          <w:rFonts w:ascii="Arial" w:eastAsia="Times New Roman" w:hAnsi="Arial" w:cs="Arial"/>
          <w:b/>
          <w:bCs/>
          <w:color w:val="005500"/>
          <w:sz w:val="24"/>
          <w:szCs w:val="24"/>
          <w:lang w:eastAsia="es-ES"/>
        </w:rPr>
      </w:pPr>
    </w:p>
    <w:p w:rsidR="00B87EF2" w:rsidRPr="006D575F" w:rsidRDefault="00B87EF2" w:rsidP="007A6FDB">
      <w:pPr>
        <w:shd w:val="clear" w:color="auto" w:fill="FDFFFD"/>
        <w:spacing w:before="100" w:beforeAutospacing="1" w:after="100" w:afterAutospacing="1" w:line="240" w:lineRule="auto"/>
        <w:jc w:val="both"/>
        <w:outlineLvl w:val="2"/>
        <w:rPr>
          <w:rFonts w:ascii="Arial" w:eastAsia="Times New Roman" w:hAnsi="Arial" w:cs="Arial"/>
          <w:b/>
          <w:bCs/>
          <w:color w:val="005500"/>
          <w:sz w:val="24"/>
          <w:szCs w:val="24"/>
          <w:lang w:eastAsia="es-ES"/>
        </w:rPr>
      </w:pPr>
    </w:p>
    <w:p w:rsidR="00B44695" w:rsidRPr="006D575F" w:rsidRDefault="00B44695" w:rsidP="00B44695">
      <w:pPr>
        <w:ind w:left="360"/>
        <w:rPr>
          <w:rFonts w:ascii="Arial" w:hAnsi="Arial" w:cs="Arial"/>
          <w:sz w:val="24"/>
          <w:szCs w:val="24"/>
        </w:rPr>
      </w:pPr>
    </w:p>
    <w:sectPr w:rsidR="00B44695" w:rsidRPr="006D575F" w:rsidSect="00280F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53" w:rsidRDefault="00A86153" w:rsidP="00B40E1E">
      <w:pPr>
        <w:spacing w:after="0" w:line="240" w:lineRule="auto"/>
      </w:pPr>
      <w:r>
        <w:separator/>
      </w:r>
    </w:p>
  </w:endnote>
  <w:endnote w:type="continuationSeparator" w:id="0">
    <w:p w:rsidR="00A86153" w:rsidRDefault="00A86153" w:rsidP="00B4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53" w:rsidRDefault="00A86153" w:rsidP="00B40E1E">
      <w:pPr>
        <w:spacing w:after="0" w:line="240" w:lineRule="auto"/>
      </w:pPr>
      <w:r>
        <w:separator/>
      </w:r>
    </w:p>
  </w:footnote>
  <w:footnote w:type="continuationSeparator" w:id="0">
    <w:p w:rsidR="00A86153" w:rsidRDefault="00A86153" w:rsidP="00B40E1E">
      <w:pPr>
        <w:spacing w:after="0" w:line="240" w:lineRule="auto"/>
      </w:pPr>
      <w:r>
        <w:continuationSeparator/>
      </w:r>
    </w:p>
  </w:footnote>
  <w:footnote w:id="1">
    <w:p w:rsidR="00B40E1E" w:rsidRDefault="00B40E1E" w:rsidP="00B40E1E">
      <w:pPr>
        <w:pStyle w:val="Textonotapie"/>
      </w:pPr>
      <w:r>
        <w:rPr>
          <w:rStyle w:val="Refdenotaalpie"/>
        </w:rPr>
        <w:footnoteRef/>
      </w:r>
      <w:sdt>
        <w:sdtPr>
          <w:id w:val="1534305362"/>
          <w:citation/>
        </w:sdtPr>
        <w:sdtEndPr/>
        <w:sdtContent>
          <w:r w:rsidR="00137516">
            <w:fldChar w:fldCharType="begin"/>
          </w:r>
          <w:r>
            <w:instrText xml:space="preserve"> CITATION Vel051 \l 3082 </w:instrText>
          </w:r>
          <w:r w:rsidR="00137516">
            <w:fldChar w:fldCharType="separate"/>
          </w:r>
          <w:r>
            <w:rPr>
              <w:noProof/>
            </w:rPr>
            <w:t>(Velazquez 2005)</w:t>
          </w:r>
          <w:r w:rsidR="00137516">
            <w:fldChar w:fldCharType="end"/>
          </w:r>
        </w:sdtContent>
      </w:sdt>
    </w:p>
  </w:footnote>
  <w:footnote w:id="2">
    <w:p w:rsidR="00B40E1E" w:rsidRDefault="00B40E1E" w:rsidP="00B40E1E">
      <w:pPr>
        <w:pStyle w:val="Textonotapie"/>
      </w:pPr>
      <w:r>
        <w:rPr>
          <w:rStyle w:val="Refdenotaalpie"/>
        </w:rPr>
        <w:footnoteRef/>
      </w:r>
      <w:r>
        <w:t xml:space="preserve"> Para su lectura véase el libro de Edwin Aguiluz. Documentos para la historia eclesiástica del </w:t>
      </w:r>
      <w:r w:rsidR="00A22436">
        <w:t>siglo VI</w:t>
      </w:r>
      <w:r>
        <w:t xml:space="preserve">. </w:t>
      </w:r>
    </w:p>
  </w:footnote>
  <w:footnote w:id="3">
    <w:p w:rsidR="00B40E1E" w:rsidRPr="00B55A36" w:rsidRDefault="00B40E1E" w:rsidP="00B40E1E">
      <w:pPr>
        <w:pStyle w:val="Textonotapie"/>
      </w:pPr>
      <w:r>
        <w:rPr>
          <w:rStyle w:val="Refdenotaalpie"/>
        </w:rPr>
        <w:footnoteRef/>
      </w:r>
      <w:sdt>
        <w:sdtPr>
          <w:id w:val="-1017689600"/>
          <w:citation/>
        </w:sdtPr>
        <w:sdtEndPr/>
        <w:sdtContent>
          <w:r w:rsidR="00137516">
            <w:fldChar w:fldCharType="begin"/>
          </w:r>
          <w:r w:rsidRPr="00B55A36">
            <w:instrText xml:space="preserve">CITATION FLA94 \l 3082 </w:instrText>
          </w:r>
          <w:r w:rsidR="00137516">
            <w:fldChar w:fldCharType="separate"/>
          </w:r>
          <w:r w:rsidRPr="00B55A36">
            <w:rPr>
              <w:noProof/>
            </w:rPr>
            <w:t>(Palma Murga 1994)</w:t>
          </w:r>
          <w:r w:rsidR="00137516">
            <w:fldChar w:fldCharType="end"/>
          </w:r>
        </w:sdtContent>
      </w:sdt>
    </w:p>
  </w:footnote>
  <w:footnote w:id="4">
    <w:p w:rsidR="00B40E1E" w:rsidRPr="00B55A36" w:rsidRDefault="00B40E1E" w:rsidP="00B40E1E">
      <w:pPr>
        <w:pStyle w:val="Textonotapie"/>
      </w:pPr>
      <w:r>
        <w:rPr>
          <w:rStyle w:val="Refdenotaalpie"/>
        </w:rPr>
        <w:footnoteRef/>
      </w:r>
      <w:r w:rsidRPr="00B55A36">
        <w:t xml:space="preserve"> http://www.afehc-historia-centroamericana.org/</w:t>
      </w:r>
    </w:p>
  </w:footnote>
  <w:footnote w:id="5">
    <w:p w:rsidR="00B40E1E" w:rsidRDefault="00B40E1E" w:rsidP="00B40E1E">
      <w:pPr>
        <w:pStyle w:val="Textonotapie"/>
      </w:pPr>
      <w:r>
        <w:rPr>
          <w:rStyle w:val="Refdenotaalpie"/>
        </w:rPr>
        <w:footnoteRef/>
      </w:r>
      <w:sdt>
        <w:sdtPr>
          <w:id w:val="1034312669"/>
          <w:citation/>
        </w:sdtPr>
        <w:sdtEndPr/>
        <w:sdtContent>
          <w:r w:rsidR="00137516">
            <w:fldChar w:fldCharType="begin"/>
          </w:r>
          <w:r>
            <w:instrText xml:space="preserve"> CITATION Car91 \l 3082 </w:instrText>
          </w:r>
          <w:r w:rsidR="00137516">
            <w:fldChar w:fldCharType="separate"/>
          </w:r>
          <w:r>
            <w:rPr>
              <w:noProof/>
            </w:rPr>
            <w:t>(Carias 1991)</w:t>
          </w:r>
          <w:r w:rsidR="00137516">
            <w:fldChar w:fldCharType="end"/>
          </w:r>
        </w:sdtContent>
      </w:sdt>
    </w:p>
  </w:footnote>
  <w:footnote w:id="6">
    <w:p w:rsidR="00B40E1E" w:rsidRDefault="00B40E1E" w:rsidP="00B40E1E">
      <w:pPr>
        <w:pStyle w:val="Textonotapie"/>
      </w:pPr>
      <w:r>
        <w:rPr>
          <w:rStyle w:val="Refdenotaalpie"/>
        </w:rPr>
        <w:footnoteRef/>
      </w:r>
      <w:r>
        <w:t>Ibid</w:t>
      </w:r>
      <w:r w:rsidR="003D4DF2">
        <w:t xml:space="preserve"> </w:t>
      </w:r>
      <w:r>
        <w:t>afehc</w:t>
      </w:r>
    </w:p>
  </w:footnote>
  <w:footnote w:id="7">
    <w:p w:rsidR="00B40E1E" w:rsidRDefault="00B40E1E" w:rsidP="00B40E1E">
      <w:pPr>
        <w:pStyle w:val="Textonotapie"/>
      </w:pPr>
      <w:r>
        <w:rPr>
          <w:rStyle w:val="Refdenotaalpie"/>
        </w:rPr>
        <w:footnoteRef/>
      </w:r>
      <w:r>
        <w:rPr>
          <w:rFonts w:ascii="Arial" w:hAnsi="Arial" w:cs="Arial"/>
        </w:rPr>
        <w:t>Ibid</w:t>
      </w:r>
      <w:r w:rsidRPr="00BF68EC">
        <w:rPr>
          <w:rFonts w:ascii="Arial" w:hAnsi="Arial" w:cs="Arial"/>
        </w:rPr>
        <w:t xml:space="preserve"> No. 54 de septiembre del 2012.</w:t>
      </w:r>
      <w:r>
        <w:rPr>
          <w:rFonts w:ascii="Arial" w:hAnsi="Arial" w:cs="Arial"/>
        </w:rPr>
        <w:t>.</w:t>
      </w:r>
    </w:p>
  </w:footnote>
  <w:footnote w:id="8">
    <w:p w:rsidR="00B40E1E" w:rsidRDefault="00B40E1E" w:rsidP="00B40E1E">
      <w:pPr>
        <w:pStyle w:val="Textonotapie"/>
      </w:pPr>
      <w:r>
        <w:rPr>
          <w:rStyle w:val="Refdenotaalpie"/>
        </w:rPr>
        <w:footnoteRef/>
      </w:r>
      <w:sdt>
        <w:sdtPr>
          <w:id w:val="-1930948306"/>
          <w:citation/>
        </w:sdtPr>
        <w:sdtEndPr/>
        <w:sdtContent>
          <w:r w:rsidR="00137516">
            <w:fldChar w:fldCharType="begin"/>
          </w:r>
          <w:r>
            <w:instrText xml:space="preserve"> CITATION Val68 \l 3082 </w:instrText>
          </w:r>
          <w:r w:rsidR="00137516">
            <w:fldChar w:fldCharType="separate"/>
          </w:r>
          <w:r>
            <w:rPr>
              <w:noProof/>
            </w:rPr>
            <w:t>(Valle 1968)</w:t>
          </w:r>
          <w:r w:rsidR="00137516">
            <w:fldChar w:fldCharType="end"/>
          </w:r>
        </w:sdtContent>
      </w:sdt>
    </w:p>
  </w:footnote>
  <w:footnote w:id="9">
    <w:p w:rsidR="00B40E1E" w:rsidRDefault="00B40E1E" w:rsidP="00B40E1E">
      <w:pPr>
        <w:pStyle w:val="Textonotapie"/>
      </w:pPr>
      <w:r>
        <w:rPr>
          <w:rStyle w:val="Refdenotaalpie"/>
        </w:rPr>
        <w:footnoteRef/>
      </w:r>
      <w:sdt>
        <w:sdtPr>
          <w:id w:val="-558546646"/>
          <w:citation/>
        </w:sdtPr>
        <w:sdtEndPr/>
        <w:sdtContent>
          <w:r w:rsidR="00137516">
            <w:fldChar w:fldCharType="begin"/>
          </w:r>
          <w:r>
            <w:instrText xml:space="preserve"> CITATION Bar57 \l 3082 </w:instrText>
          </w:r>
          <w:r w:rsidR="00137516">
            <w:fldChar w:fldCharType="separate"/>
          </w:r>
          <w:r>
            <w:rPr>
              <w:noProof/>
            </w:rPr>
            <w:t>(Bardales 1957)</w:t>
          </w:r>
          <w:r w:rsidR="00137516">
            <w:fldChar w:fldCharType="end"/>
          </w:r>
        </w:sdtContent>
      </w:sdt>
    </w:p>
  </w:footnote>
  <w:footnote w:id="10">
    <w:p w:rsidR="00B40E1E" w:rsidRDefault="00B40E1E" w:rsidP="00B40E1E">
      <w:pPr>
        <w:pStyle w:val="Textonotapie"/>
      </w:pPr>
      <w:r>
        <w:rPr>
          <w:rStyle w:val="Refdenotaalpie"/>
        </w:rPr>
        <w:footnoteRef/>
      </w:r>
      <w:sdt>
        <w:sdtPr>
          <w:id w:val="2127579960"/>
          <w:citation/>
        </w:sdtPr>
        <w:sdtEndPr/>
        <w:sdtContent>
          <w:r w:rsidR="00137516">
            <w:fldChar w:fldCharType="begin"/>
          </w:r>
          <w:r>
            <w:instrText xml:space="preserve"> CITATION Mar67 \l 3082 </w:instrText>
          </w:r>
          <w:r w:rsidR="00137516">
            <w:fldChar w:fldCharType="separate"/>
          </w:r>
          <w:r>
            <w:rPr>
              <w:noProof/>
            </w:rPr>
            <w:t>(Martinez Castillo 1967)</w:t>
          </w:r>
          <w:r w:rsidR="00137516">
            <w:fldChar w:fldCharType="end"/>
          </w:r>
        </w:sdtContent>
      </w:sdt>
    </w:p>
  </w:footnote>
  <w:footnote w:id="11">
    <w:p w:rsidR="00B40E1E" w:rsidRDefault="00B40E1E" w:rsidP="00B40E1E">
      <w:pPr>
        <w:pStyle w:val="Textonotapie"/>
      </w:pPr>
      <w:r>
        <w:rPr>
          <w:rStyle w:val="Refdenotaalpie"/>
        </w:rPr>
        <w:footnoteRef/>
      </w:r>
      <w:sdt>
        <w:sdtPr>
          <w:id w:val="-191688402"/>
          <w:citation/>
        </w:sdtPr>
        <w:sdtEndPr/>
        <w:sdtContent>
          <w:r w:rsidR="00137516">
            <w:fldChar w:fldCharType="begin"/>
          </w:r>
          <w:r>
            <w:instrText xml:space="preserve"> CITATION Toj90 \l 3082 </w:instrText>
          </w:r>
          <w:r w:rsidR="00137516">
            <w:fldChar w:fldCharType="separate"/>
          </w:r>
          <w:r>
            <w:rPr>
              <w:noProof/>
            </w:rPr>
            <w:t xml:space="preserve"> (Tojeira 1990)</w:t>
          </w:r>
          <w:r w:rsidR="00137516">
            <w:fldChar w:fldCharType="end"/>
          </w:r>
        </w:sdtContent>
      </w:sdt>
      <w:r>
        <w:t xml:space="preserve">p.117 </w:t>
      </w:r>
    </w:p>
  </w:footnote>
  <w:footnote w:id="12">
    <w:p w:rsidR="00B40E1E" w:rsidRDefault="00B40E1E" w:rsidP="00B40E1E">
      <w:pPr>
        <w:pStyle w:val="Textonotapie"/>
      </w:pPr>
      <w:r>
        <w:rPr>
          <w:rStyle w:val="Refdenotaalpie"/>
        </w:rPr>
        <w:footnoteRef/>
      </w:r>
      <w:sdt>
        <w:sdtPr>
          <w:id w:val="1659880019"/>
          <w:citation/>
        </w:sdtPr>
        <w:sdtEndPr/>
        <w:sdtContent>
          <w:r w:rsidR="00137516">
            <w:fldChar w:fldCharType="begin"/>
          </w:r>
          <w:r>
            <w:instrText xml:space="preserve"> CITATION Toj90 \l 3082 </w:instrText>
          </w:r>
          <w:r w:rsidR="00137516">
            <w:fldChar w:fldCharType="separate"/>
          </w:r>
          <w:r>
            <w:rPr>
              <w:noProof/>
            </w:rPr>
            <w:t>(Tojeira 1990)</w:t>
          </w:r>
          <w:r w:rsidR="00137516">
            <w:fldChar w:fldCharType="end"/>
          </w:r>
        </w:sdtContent>
      </w:sdt>
      <w:r>
        <w:t>p.21</w:t>
      </w:r>
    </w:p>
  </w:footnote>
  <w:footnote w:id="13">
    <w:p w:rsidR="00B40E1E" w:rsidRDefault="00B40E1E" w:rsidP="00B40E1E">
      <w:pPr>
        <w:pStyle w:val="Textonotapie"/>
      </w:pPr>
      <w:r>
        <w:rPr>
          <w:rStyle w:val="Refdenotaalpie"/>
        </w:rPr>
        <w:footnoteRef/>
      </w:r>
      <w:sdt>
        <w:sdtPr>
          <w:id w:val="1376735045"/>
          <w:citation/>
        </w:sdtPr>
        <w:sdtEndPr/>
        <w:sdtContent>
          <w:r w:rsidR="00137516">
            <w:fldChar w:fldCharType="begin"/>
          </w:r>
          <w:r>
            <w:instrText xml:space="preserve"> CITATION Ine \l 3082 </w:instrText>
          </w:r>
          <w:r w:rsidR="00137516">
            <w:fldChar w:fldCharType="separate"/>
          </w:r>
          <w:r>
            <w:rPr>
              <w:noProof/>
            </w:rPr>
            <w:t>(Inestroza s.f.)</w:t>
          </w:r>
          <w:r w:rsidR="00137516">
            <w:fldChar w:fldCharType="end"/>
          </w:r>
        </w:sdtContent>
      </w:sdt>
    </w:p>
  </w:footnote>
  <w:footnote w:id="14">
    <w:p w:rsidR="00B40E1E" w:rsidRDefault="00B40E1E" w:rsidP="00B40E1E">
      <w:pPr>
        <w:pStyle w:val="Textonotapie"/>
      </w:pPr>
      <w:r>
        <w:rPr>
          <w:rStyle w:val="Refdenotaalpie"/>
        </w:rPr>
        <w:footnoteRef/>
      </w:r>
      <w:sdt>
        <w:sdtPr>
          <w:id w:val="-1386709326"/>
          <w:citation/>
        </w:sdtPr>
        <w:sdtEndPr/>
        <w:sdtContent>
          <w:r w:rsidR="00137516">
            <w:fldChar w:fldCharType="begin"/>
          </w:r>
          <w:r>
            <w:instrText xml:space="preserve"> CITATION Sie931 \l 3082 </w:instrText>
          </w:r>
          <w:r w:rsidR="00137516">
            <w:fldChar w:fldCharType="separate"/>
          </w:r>
          <w:r>
            <w:rPr>
              <w:noProof/>
            </w:rPr>
            <w:t>(Sierra, Fuentes y bibliografia para el estudio de la iglesia en Honduras 1993)</w:t>
          </w:r>
          <w:r w:rsidR="00137516">
            <w:fldChar w:fldCharType="end"/>
          </w:r>
        </w:sdtContent>
      </w:sdt>
    </w:p>
  </w:footnote>
  <w:footnote w:id="15">
    <w:p w:rsidR="00B40E1E" w:rsidRDefault="00B40E1E" w:rsidP="00B40E1E">
      <w:pPr>
        <w:pStyle w:val="Textonotapie"/>
      </w:pPr>
      <w:r>
        <w:rPr>
          <w:rStyle w:val="Refdenotaalpie"/>
        </w:rPr>
        <w:footnoteRef/>
      </w:r>
      <w:sdt>
        <w:sdtPr>
          <w:id w:val="752705336"/>
          <w:citation/>
        </w:sdtPr>
        <w:sdtEndPr/>
        <w:sdtContent>
          <w:r w:rsidR="00137516">
            <w:fldChar w:fldCharType="begin"/>
          </w:r>
          <w:r>
            <w:instrText xml:space="preserve"> CITATION Sie93 \l 3082 </w:instrText>
          </w:r>
          <w:r w:rsidR="00137516">
            <w:fldChar w:fldCharType="separate"/>
          </w:r>
          <w:r>
            <w:rPr>
              <w:noProof/>
            </w:rPr>
            <w:t>(Sierra, Iglesia y liberalismo en Honduras en el siglo XIX 1993)</w:t>
          </w:r>
          <w:r w:rsidR="00137516">
            <w:fldChar w:fldCharType="end"/>
          </w:r>
        </w:sdtContent>
      </w:sdt>
    </w:p>
  </w:footnote>
  <w:footnote w:id="16">
    <w:p w:rsidR="00B40E1E" w:rsidRDefault="00B40E1E" w:rsidP="00B40E1E">
      <w:pPr>
        <w:pStyle w:val="Textonotapie"/>
      </w:pPr>
      <w:r>
        <w:rPr>
          <w:rStyle w:val="Refdenotaalpie"/>
        </w:rPr>
        <w:footnoteRef/>
      </w:r>
      <w:sdt>
        <w:sdtPr>
          <w:id w:val="-1050524740"/>
          <w:citation/>
        </w:sdtPr>
        <w:sdtEndPr/>
        <w:sdtContent>
          <w:r w:rsidR="00137516">
            <w:fldChar w:fldCharType="begin"/>
          </w:r>
          <w:r>
            <w:instrText xml:space="preserve"> CITATION Val97 \l 3082 </w:instrText>
          </w:r>
          <w:r w:rsidR="00137516">
            <w:fldChar w:fldCharType="separate"/>
          </w:r>
          <w:r>
            <w:rPr>
              <w:noProof/>
            </w:rPr>
            <w:t>(Vallejo 1997)</w:t>
          </w:r>
          <w:r w:rsidR="00137516">
            <w:fldChar w:fldCharType="end"/>
          </w:r>
        </w:sdtContent>
      </w:sdt>
    </w:p>
  </w:footnote>
  <w:footnote w:id="17">
    <w:p w:rsidR="00B40E1E" w:rsidRDefault="00B40E1E" w:rsidP="00B40E1E">
      <w:pPr>
        <w:pStyle w:val="Textonotapie"/>
      </w:pPr>
      <w:r>
        <w:rPr>
          <w:rStyle w:val="Refdenotaalpie"/>
        </w:rPr>
        <w:footnoteRef/>
      </w:r>
      <w:sdt>
        <w:sdtPr>
          <w:id w:val="938104560"/>
          <w:citation/>
        </w:sdtPr>
        <w:sdtEndPr/>
        <w:sdtContent>
          <w:r w:rsidR="00137516">
            <w:fldChar w:fldCharType="begin"/>
          </w:r>
          <w:r>
            <w:instrText xml:space="preserve"> CITATION Val90 \l 3082 </w:instrText>
          </w:r>
          <w:r w:rsidR="00137516">
            <w:fldChar w:fldCharType="separate"/>
          </w:r>
          <w:r>
            <w:rPr>
              <w:noProof/>
            </w:rPr>
            <w:t>(Valenzuela 1990)</w:t>
          </w:r>
          <w:r w:rsidR="00137516">
            <w:fldChar w:fldCharType="end"/>
          </w:r>
        </w:sdtContent>
      </w:sdt>
    </w:p>
  </w:footnote>
  <w:footnote w:id="18">
    <w:p w:rsidR="00B40E1E" w:rsidRDefault="00B40E1E" w:rsidP="00B40E1E">
      <w:pPr>
        <w:pStyle w:val="Textonotapie"/>
      </w:pPr>
      <w:r>
        <w:rPr>
          <w:rStyle w:val="Refdenotaalpie"/>
        </w:rPr>
        <w:footnoteRef/>
      </w:r>
      <w:sdt>
        <w:sdtPr>
          <w:id w:val="1952741205"/>
          <w:citation/>
        </w:sdtPr>
        <w:sdtEndPr/>
        <w:sdtContent>
          <w:r w:rsidR="00137516">
            <w:fldChar w:fldCharType="begin"/>
          </w:r>
          <w:r>
            <w:instrText xml:space="preserve"> CITATION Cru08 \l 3082 </w:instrText>
          </w:r>
          <w:r w:rsidR="00137516">
            <w:fldChar w:fldCharType="separate"/>
          </w:r>
          <w:r>
            <w:rPr>
              <w:noProof/>
            </w:rPr>
            <w:t>(Cruz Reyes, Educação e filosofia, 2008 - seer.ufu.br 2008)</w:t>
          </w:r>
          <w:r w:rsidR="00137516">
            <w:fldChar w:fldCharType="end"/>
          </w:r>
        </w:sdtContent>
      </w:sdt>
    </w:p>
  </w:footnote>
  <w:footnote w:id="19">
    <w:p w:rsidR="00B40E1E" w:rsidRPr="00D0180A" w:rsidRDefault="00B40E1E" w:rsidP="00B40E1E">
      <w:pPr>
        <w:pStyle w:val="Textonotapie"/>
      </w:pPr>
      <w:r>
        <w:rPr>
          <w:rStyle w:val="Refdenotaalpie"/>
        </w:rPr>
        <w:footnoteRef/>
      </w:r>
      <w:sdt>
        <w:sdtPr>
          <w:id w:val="386232972"/>
          <w:citation/>
        </w:sdtPr>
        <w:sdtEndPr/>
        <w:sdtContent>
          <w:r w:rsidR="00137516">
            <w:fldChar w:fldCharType="begin"/>
          </w:r>
          <w:r>
            <w:instrText xml:space="preserve"> CITATION Cru02 \l 3082 </w:instrText>
          </w:r>
          <w:r w:rsidR="00137516">
            <w:fldChar w:fldCharType="separate"/>
          </w:r>
          <w:r>
            <w:rPr>
              <w:noProof/>
            </w:rPr>
            <w:t>(Cruz Reyes, Educaciòn y pape de la mujer en el periodo de la transicion del SigloXVIII al Siglo XIX 2002)</w:t>
          </w:r>
          <w:r w:rsidR="00137516">
            <w:fldChar w:fldCharType="end"/>
          </w:r>
        </w:sdtContent>
      </w:sdt>
    </w:p>
  </w:footnote>
  <w:footnote w:id="20">
    <w:p w:rsidR="00B40E1E" w:rsidRDefault="00B40E1E" w:rsidP="00B40E1E">
      <w:pPr>
        <w:pStyle w:val="Textonotapie"/>
      </w:pPr>
      <w:r>
        <w:rPr>
          <w:rStyle w:val="Refdenotaalpie"/>
        </w:rPr>
        <w:footnoteRef/>
      </w:r>
      <w:r>
        <w:t>Afehc</w:t>
      </w:r>
    </w:p>
    <w:p w:rsidR="00B40E1E" w:rsidRDefault="00B40E1E" w:rsidP="00B40E1E">
      <w:pPr>
        <w:pStyle w:val="Textonotapie"/>
      </w:pPr>
    </w:p>
  </w:footnote>
  <w:footnote w:id="21">
    <w:p w:rsidR="00B40E1E" w:rsidRDefault="00B40E1E" w:rsidP="00B40E1E">
      <w:pPr>
        <w:pStyle w:val="Textonotapie"/>
      </w:pPr>
      <w:r>
        <w:rPr>
          <w:rStyle w:val="Refdenotaalpie"/>
        </w:rPr>
        <w:footnoteRef/>
      </w:r>
      <w:sdt>
        <w:sdtPr>
          <w:id w:val="1997992754"/>
          <w:citation/>
        </w:sdtPr>
        <w:sdtEndPr/>
        <w:sdtContent>
          <w:r w:rsidR="00137516">
            <w:fldChar w:fldCharType="begin"/>
          </w:r>
          <w:r>
            <w:instrText xml:space="preserve"> CITATION Sag03 \l 3082 </w:instrText>
          </w:r>
          <w:r w:rsidR="00137516">
            <w:fldChar w:fldCharType="separate"/>
          </w:r>
          <w:r>
            <w:rPr>
              <w:noProof/>
            </w:rPr>
            <w:t>(Sagastume 2003)</w:t>
          </w:r>
          <w:r w:rsidR="00137516">
            <w:fldChar w:fldCharType="end"/>
          </w:r>
        </w:sdtContent>
      </w:sdt>
      <w:r>
        <w:t>p94</w:t>
      </w:r>
    </w:p>
  </w:footnote>
  <w:footnote w:id="22">
    <w:p w:rsidR="00B40E1E" w:rsidRDefault="00B40E1E" w:rsidP="00B40E1E">
      <w:pPr>
        <w:pStyle w:val="Textonotapie"/>
      </w:pPr>
      <w:r>
        <w:rPr>
          <w:rStyle w:val="Refdenotaalpie"/>
        </w:rPr>
        <w:footnoteRef/>
      </w:r>
      <w:sdt>
        <w:sdtPr>
          <w:id w:val="415753222"/>
          <w:citation/>
        </w:sdtPr>
        <w:sdtEndPr/>
        <w:sdtContent>
          <w:r w:rsidR="00137516">
            <w:fldChar w:fldCharType="begin"/>
          </w:r>
          <w:r>
            <w:instrText xml:space="preserve"> CITATION Bel16 \l 3082 </w:instrText>
          </w:r>
          <w:r w:rsidR="00137516">
            <w:fldChar w:fldCharType="separate"/>
          </w:r>
          <w:r>
            <w:rPr>
              <w:noProof/>
            </w:rPr>
            <w:t>(Belaudre s.f.)</w:t>
          </w:r>
          <w:r w:rsidR="00137516">
            <w:fldChar w:fldCharType="end"/>
          </w:r>
        </w:sdtContent>
      </w:sdt>
    </w:p>
  </w:footnote>
  <w:footnote w:id="23">
    <w:p w:rsidR="00052276" w:rsidRPr="00052276" w:rsidRDefault="00052276" w:rsidP="00052276">
      <w:pPr>
        <w:pStyle w:val="Textonotapie"/>
        <w:rPr>
          <w:lang w:val="en-US"/>
        </w:rPr>
      </w:pPr>
      <w:r>
        <w:rPr>
          <w:rStyle w:val="Refdenotaalpie"/>
        </w:rPr>
        <w:footnoteRef/>
      </w:r>
      <w:sdt>
        <w:sdtPr>
          <w:id w:val="2955361"/>
          <w:citation/>
        </w:sdtPr>
        <w:sdtEndPr/>
        <w:sdtContent>
          <w:r w:rsidR="00137516">
            <w:fldChar w:fldCharType="begin"/>
          </w:r>
          <w:r w:rsidRPr="00052276">
            <w:rPr>
              <w:lang w:val="en-US"/>
            </w:rPr>
            <w:instrText xml:space="preserve"> CITATION Dob94 \l 3082 </w:instrText>
          </w:r>
          <w:r w:rsidR="00137516">
            <w:fldChar w:fldCharType="separate"/>
          </w:r>
          <w:r w:rsidRPr="00052276">
            <w:rPr>
              <w:noProof/>
              <w:lang w:val="en-US"/>
            </w:rPr>
            <w:t>(Dobbebelaere 1994)</w:t>
          </w:r>
          <w:r w:rsidR="00137516">
            <w:fldChar w:fldCharType="end"/>
          </w:r>
        </w:sdtContent>
      </w:sdt>
      <w:r w:rsidRPr="00052276">
        <w:rPr>
          <w:lang w:val="en-US"/>
        </w:rPr>
        <w:t>p.7</w:t>
      </w:r>
    </w:p>
  </w:footnote>
  <w:footnote w:id="24">
    <w:p w:rsidR="00052276" w:rsidRPr="00052276" w:rsidRDefault="00052276" w:rsidP="00052276">
      <w:pPr>
        <w:pStyle w:val="Textonotapie"/>
        <w:rPr>
          <w:lang w:val="en-US"/>
        </w:rPr>
      </w:pPr>
      <w:r>
        <w:rPr>
          <w:rStyle w:val="Refdenotaalpie"/>
        </w:rPr>
        <w:footnoteRef/>
      </w:r>
      <w:sdt>
        <w:sdtPr>
          <w:id w:val="2955362"/>
          <w:citation/>
        </w:sdtPr>
        <w:sdtEndPr/>
        <w:sdtContent>
          <w:r w:rsidR="00137516">
            <w:fldChar w:fldCharType="begin"/>
          </w:r>
          <w:r w:rsidRPr="00052276">
            <w:rPr>
              <w:lang w:val="en-US"/>
            </w:rPr>
            <w:instrText xml:space="preserve"> CITATION Dym14 \l 3082 </w:instrText>
          </w:r>
          <w:r w:rsidR="00137516">
            <w:fldChar w:fldCharType="separate"/>
          </w:r>
          <w:r w:rsidRPr="00052276">
            <w:rPr>
              <w:noProof/>
              <w:lang w:val="en-US"/>
            </w:rPr>
            <w:t>(Dym 2014)</w:t>
          </w:r>
          <w:r w:rsidR="00137516">
            <w:fldChar w:fldCharType="end"/>
          </w:r>
        </w:sdtContent>
      </w:sdt>
      <w:r w:rsidRPr="00052276">
        <w:rPr>
          <w:lang w:val="en-US"/>
        </w:rPr>
        <w:t>P.115</w:t>
      </w:r>
    </w:p>
  </w:footnote>
  <w:footnote w:id="25">
    <w:p w:rsidR="00052276" w:rsidRPr="00052276" w:rsidRDefault="00052276" w:rsidP="00052276">
      <w:pPr>
        <w:pStyle w:val="Textonotapie"/>
        <w:rPr>
          <w:lang w:val="en-US"/>
        </w:rPr>
      </w:pPr>
      <w:r>
        <w:rPr>
          <w:rStyle w:val="Refdenotaalpie"/>
        </w:rPr>
        <w:footnoteRef/>
      </w:r>
      <w:sdt>
        <w:sdtPr>
          <w:id w:val="2955363"/>
          <w:citation/>
        </w:sdtPr>
        <w:sdtEndPr/>
        <w:sdtContent>
          <w:r w:rsidR="00137516">
            <w:fldChar w:fldCharType="begin"/>
          </w:r>
          <w:r w:rsidRPr="00052276">
            <w:rPr>
              <w:lang w:val="en-US"/>
            </w:rPr>
            <w:instrText xml:space="preserve">CITATION Ber11 \l 3082 </w:instrText>
          </w:r>
          <w:r w:rsidR="00137516">
            <w:fldChar w:fldCharType="separate"/>
          </w:r>
          <w:r w:rsidRPr="00052276">
            <w:rPr>
              <w:noProof/>
              <w:lang w:val="en-US"/>
            </w:rPr>
            <w:t>(Berger 2011)</w:t>
          </w:r>
          <w:r w:rsidR="00137516">
            <w:fldChar w:fldCharType="end"/>
          </w:r>
        </w:sdtContent>
      </w:sdt>
    </w:p>
  </w:footnote>
  <w:footnote w:id="26">
    <w:p w:rsidR="006F113B" w:rsidRDefault="006F113B" w:rsidP="006F113B">
      <w:pPr>
        <w:pStyle w:val="Textonotapie"/>
      </w:pPr>
      <w:r>
        <w:rPr>
          <w:rStyle w:val="Refdenotaalpie"/>
        </w:rPr>
        <w:footnoteRef/>
      </w:r>
      <w:r>
        <w:t xml:space="preserve"> </w:t>
      </w:r>
      <w:r w:rsidR="00137516">
        <w:fldChar w:fldCharType="begin"/>
      </w:r>
      <w:r>
        <w:instrText xml:space="preserve"> BIBLIOGRAPHY  \l 3082 </w:instrText>
      </w:r>
      <w:r w:rsidR="00137516">
        <w:fldChar w:fldCharType="separate"/>
      </w:r>
      <w:r>
        <w:rPr>
          <w:noProof/>
        </w:rPr>
        <w:t xml:space="preserve">Perez Agote, A. (2010). </w:t>
      </w:r>
      <w:r>
        <w:rPr>
          <w:i/>
          <w:iCs/>
          <w:noProof/>
        </w:rPr>
        <w:t>La secularizacion . Los limites de su validez.</w:t>
      </w:r>
      <w:r>
        <w:rPr>
          <w:noProof/>
        </w:rPr>
        <w:t xml:space="preserve"> Obtenido de http://www.sagepub.net/isa/resources/pdf/Secularizaci%C3%B3n2013.pdf: http://www.sagepub.net/isa/resources/pdf/Secularizaci%C3%B3n2013.pdf</w:t>
      </w:r>
    </w:p>
    <w:p w:rsidR="006F113B" w:rsidRDefault="00137516" w:rsidP="006F113B">
      <w:pPr>
        <w:pStyle w:val="Textonotapie"/>
      </w:pPr>
      <w:r>
        <w:fldChar w:fldCharType="end"/>
      </w:r>
    </w:p>
  </w:footnote>
  <w:footnote w:id="27">
    <w:p w:rsidR="00A74894" w:rsidRDefault="00A74894" w:rsidP="00A74894">
      <w:pPr>
        <w:pStyle w:val="Bibliografa"/>
        <w:rPr>
          <w:noProof/>
        </w:rPr>
      </w:pPr>
      <w:r>
        <w:rPr>
          <w:rStyle w:val="Refdenotaalpie"/>
          <w:sz w:val="20"/>
          <w:szCs w:val="20"/>
        </w:rPr>
        <w:footnoteRef/>
      </w:r>
      <w:r w:rsidR="00137516">
        <w:fldChar w:fldCharType="begin"/>
      </w:r>
      <w:r>
        <w:instrText xml:space="preserve"> BIBLIOGRAPHY  \l 3082 </w:instrText>
      </w:r>
      <w:r w:rsidR="00137516">
        <w:fldChar w:fldCharType="separate"/>
      </w:r>
      <w:r>
        <w:rPr>
          <w:noProof/>
        </w:rPr>
        <w:t xml:space="preserve">Alvarez Icaza, M. T. (2015). </w:t>
      </w:r>
      <w:r>
        <w:rPr>
          <w:i/>
          <w:iCs/>
          <w:noProof/>
        </w:rPr>
        <w:t>La secularizacion de las doctrinas y misiones en el arzobispado de Mexico. 1749-1789.</w:t>
      </w:r>
      <w:r>
        <w:rPr>
          <w:noProof/>
        </w:rPr>
        <w:t xml:space="preserve"> Recuperado el 16 de mayo de 2017, de www.historicas.unam.mx/publicaciones/publicadigital/libros/secularizacion/sec000.pdf</w:t>
      </w:r>
    </w:p>
    <w:p w:rsidR="00CC38AD" w:rsidRDefault="00137516" w:rsidP="00A74894">
      <w:pPr>
        <w:pStyle w:val="Textonotapie"/>
      </w:pPr>
      <w:r>
        <w:fldChar w:fldCharType="end"/>
      </w:r>
    </w:p>
  </w:footnote>
  <w:footnote w:id="28">
    <w:p w:rsidR="002D36DA" w:rsidRDefault="002D36DA">
      <w:pPr>
        <w:pStyle w:val="Textonotapie"/>
      </w:pPr>
      <w:r>
        <w:rPr>
          <w:rStyle w:val="Refdenotaalpie"/>
        </w:rPr>
        <w:footnoteRef/>
      </w:r>
      <w:r>
        <w:t xml:space="preserve"> </w:t>
      </w:r>
      <w:sdt>
        <w:sdtPr>
          <w:id w:val="2955370"/>
          <w:citation/>
        </w:sdtPr>
        <w:sdtEndPr/>
        <w:sdtContent>
          <w:r w:rsidR="00A86153">
            <w:fldChar w:fldCharType="begin"/>
          </w:r>
          <w:r w:rsidR="00A86153">
            <w:instrText xml:space="preserve"> CITATION Alv15 \l 3082 </w:instrText>
          </w:r>
          <w:r w:rsidR="00A86153">
            <w:fldChar w:fldCharType="separate"/>
          </w:r>
          <w:r>
            <w:rPr>
              <w:noProof/>
            </w:rPr>
            <w:t>(Alvarez Icaza, 2015)</w:t>
          </w:r>
          <w:r w:rsidR="00A86153">
            <w:rPr>
              <w:noProof/>
            </w:rPr>
            <w:fldChar w:fldCharType="end"/>
          </w:r>
        </w:sdtContent>
      </w:sdt>
    </w:p>
  </w:footnote>
  <w:footnote w:id="29">
    <w:p w:rsidR="002724C7" w:rsidRDefault="002724C7" w:rsidP="002724C7">
      <w:pPr>
        <w:pStyle w:val="Textonotapie"/>
      </w:pPr>
      <w:r>
        <w:rPr>
          <w:rStyle w:val="Refdenotaalpie"/>
        </w:rPr>
        <w:footnoteRef/>
      </w:r>
      <w:r w:rsidR="00137516">
        <w:fldChar w:fldCharType="begin"/>
      </w:r>
      <w:r>
        <w:instrText xml:space="preserve"> BIBLIOGRAPHY  \l 3082 </w:instrText>
      </w:r>
      <w:r w:rsidR="00137516">
        <w:fldChar w:fldCharType="separate"/>
      </w:r>
      <w:r>
        <w:rPr>
          <w:noProof/>
        </w:rPr>
        <w:t xml:space="preserve">Belaudre, C. (0ctubre de 2012). </w:t>
      </w:r>
      <w:r>
        <w:rPr>
          <w:i/>
          <w:iCs/>
          <w:noProof/>
        </w:rPr>
        <w:t>La educacion en el Reino de Guatemala: primeros pasos hacia la secularizacion de la enseñanza(1759-1821).</w:t>
      </w:r>
      <w:r>
        <w:rPr>
          <w:noProof/>
        </w:rPr>
        <w:t xml:space="preserve"> Recuperado el 11 de octubre de 2017, de http://afehc-historia-centroamericana.org/: http://afehc-historia-centroamericana.org/</w:t>
      </w:r>
    </w:p>
    <w:p w:rsidR="002724C7" w:rsidRDefault="00137516" w:rsidP="002724C7">
      <w:pPr>
        <w:pStyle w:val="Textonotapie"/>
      </w:pPr>
      <w:r>
        <w:fldChar w:fldCharType="end"/>
      </w:r>
    </w:p>
    <w:p w:rsidR="002724C7" w:rsidRDefault="002724C7" w:rsidP="002724C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C46"/>
    <w:multiLevelType w:val="hybridMultilevel"/>
    <w:tmpl w:val="3306C534"/>
    <w:lvl w:ilvl="0" w:tplc="F5567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1E"/>
    <w:rsid w:val="00025222"/>
    <w:rsid w:val="00052276"/>
    <w:rsid w:val="00053ECC"/>
    <w:rsid w:val="000609F9"/>
    <w:rsid w:val="000B6D0B"/>
    <w:rsid w:val="00115401"/>
    <w:rsid w:val="001268C6"/>
    <w:rsid w:val="0013172F"/>
    <w:rsid w:val="00137516"/>
    <w:rsid w:val="001578CE"/>
    <w:rsid w:val="001636D7"/>
    <w:rsid w:val="001C13B2"/>
    <w:rsid w:val="00223D55"/>
    <w:rsid w:val="00267782"/>
    <w:rsid w:val="002724C7"/>
    <w:rsid w:val="00280F6D"/>
    <w:rsid w:val="002849C9"/>
    <w:rsid w:val="002867C2"/>
    <w:rsid w:val="002C3327"/>
    <w:rsid w:val="002D36DA"/>
    <w:rsid w:val="002F34FE"/>
    <w:rsid w:val="00363F1F"/>
    <w:rsid w:val="003B14F0"/>
    <w:rsid w:val="003C32E4"/>
    <w:rsid w:val="003D4DF2"/>
    <w:rsid w:val="003E4D80"/>
    <w:rsid w:val="00400318"/>
    <w:rsid w:val="00400A86"/>
    <w:rsid w:val="004942A4"/>
    <w:rsid w:val="004D522C"/>
    <w:rsid w:val="004E487E"/>
    <w:rsid w:val="004F0EB9"/>
    <w:rsid w:val="00515B93"/>
    <w:rsid w:val="0052713A"/>
    <w:rsid w:val="00530C4F"/>
    <w:rsid w:val="005B7FD8"/>
    <w:rsid w:val="0061734A"/>
    <w:rsid w:val="00653EE4"/>
    <w:rsid w:val="00654E2E"/>
    <w:rsid w:val="006559D0"/>
    <w:rsid w:val="006707D7"/>
    <w:rsid w:val="00684BE7"/>
    <w:rsid w:val="00694EFC"/>
    <w:rsid w:val="006B7666"/>
    <w:rsid w:val="006C6E41"/>
    <w:rsid w:val="006D575F"/>
    <w:rsid w:val="006F113B"/>
    <w:rsid w:val="00723900"/>
    <w:rsid w:val="0074204B"/>
    <w:rsid w:val="007678DC"/>
    <w:rsid w:val="007A6FDB"/>
    <w:rsid w:val="00820A45"/>
    <w:rsid w:val="00852B9E"/>
    <w:rsid w:val="008F62B8"/>
    <w:rsid w:val="009A01DC"/>
    <w:rsid w:val="009B27D1"/>
    <w:rsid w:val="009B281D"/>
    <w:rsid w:val="009B6DDB"/>
    <w:rsid w:val="009B707D"/>
    <w:rsid w:val="00A22436"/>
    <w:rsid w:val="00A74894"/>
    <w:rsid w:val="00A75E80"/>
    <w:rsid w:val="00A76A67"/>
    <w:rsid w:val="00A86153"/>
    <w:rsid w:val="00B40E1E"/>
    <w:rsid w:val="00B44695"/>
    <w:rsid w:val="00B87EF2"/>
    <w:rsid w:val="00B95E28"/>
    <w:rsid w:val="00BC4174"/>
    <w:rsid w:val="00BD3171"/>
    <w:rsid w:val="00BE2F79"/>
    <w:rsid w:val="00BF683C"/>
    <w:rsid w:val="00C034F3"/>
    <w:rsid w:val="00C14EA6"/>
    <w:rsid w:val="00C43332"/>
    <w:rsid w:val="00C62739"/>
    <w:rsid w:val="00C63E63"/>
    <w:rsid w:val="00C674D8"/>
    <w:rsid w:val="00CC38AD"/>
    <w:rsid w:val="00CC60F6"/>
    <w:rsid w:val="00CD02E2"/>
    <w:rsid w:val="00D46855"/>
    <w:rsid w:val="00D86178"/>
    <w:rsid w:val="00DE5E47"/>
    <w:rsid w:val="00E165C2"/>
    <w:rsid w:val="00E4125A"/>
    <w:rsid w:val="00ED7DED"/>
    <w:rsid w:val="00EE0422"/>
    <w:rsid w:val="00EE2416"/>
    <w:rsid w:val="00F00C57"/>
    <w:rsid w:val="00F0619F"/>
    <w:rsid w:val="00F07BCD"/>
    <w:rsid w:val="00F2402A"/>
    <w:rsid w:val="00F41BA6"/>
    <w:rsid w:val="00F47128"/>
    <w:rsid w:val="00F77BEE"/>
    <w:rsid w:val="00F8400D"/>
    <w:rsid w:val="00FB31DA"/>
    <w:rsid w:val="00FE38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530CD-380A-4758-B466-CDCB9A4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1E"/>
    <w:pPr>
      <w:spacing w:after="200" w:line="276" w:lineRule="auto"/>
    </w:pPr>
  </w:style>
  <w:style w:type="paragraph" w:styleId="Ttulo3">
    <w:name w:val="heading 3"/>
    <w:basedOn w:val="Normal"/>
    <w:next w:val="Normal"/>
    <w:link w:val="Ttulo3Car"/>
    <w:uiPriority w:val="9"/>
    <w:semiHidden/>
    <w:unhideWhenUsed/>
    <w:qFormat/>
    <w:rsid w:val="00B40E1E"/>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1268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0E1E"/>
    <w:rPr>
      <w:color w:val="0000FF"/>
      <w:u w:val="single"/>
    </w:rPr>
  </w:style>
  <w:style w:type="paragraph" w:styleId="Textonotapie">
    <w:name w:val="footnote text"/>
    <w:basedOn w:val="Normal"/>
    <w:link w:val="TextonotapieCar"/>
    <w:uiPriority w:val="99"/>
    <w:unhideWhenUsed/>
    <w:rsid w:val="00B40E1E"/>
    <w:pPr>
      <w:spacing w:after="0" w:line="240" w:lineRule="auto"/>
    </w:pPr>
    <w:rPr>
      <w:sz w:val="20"/>
      <w:szCs w:val="20"/>
    </w:rPr>
  </w:style>
  <w:style w:type="character" w:customStyle="1" w:styleId="TextonotapieCar">
    <w:name w:val="Texto nota pie Car"/>
    <w:basedOn w:val="Fuentedeprrafopredeter"/>
    <w:link w:val="Textonotapie"/>
    <w:uiPriority w:val="99"/>
    <w:rsid w:val="00B40E1E"/>
    <w:rPr>
      <w:sz w:val="20"/>
      <w:szCs w:val="20"/>
    </w:rPr>
  </w:style>
  <w:style w:type="character" w:styleId="Refdenotaalpie">
    <w:name w:val="footnote reference"/>
    <w:basedOn w:val="Fuentedeprrafopredeter"/>
    <w:uiPriority w:val="99"/>
    <w:semiHidden/>
    <w:unhideWhenUsed/>
    <w:rsid w:val="00B40E1E"/>
    <w:rPr>
      <w:vertAlign w:val="superscript"/>
    </w:rPr>
  </w:style>
  <w:style w:type="character" w:customStyle="1" w:styleId="apple-converted-space">
    <w:name w:val="apple-converted-space"/>
    <w:basedOn w:val="Fuentedeprrafopredeter"/>
    <w:rsid w:val="00B40E1E"/>
  </w:style>
  <w:style w:type="paragraph" w:styleId="Prrafodelista">
    <w:name w:val="List Paragraph"/>
    <w:basedOn w:val="Normal"/>
    <w:uiPriority w:val="34"/>
    <w:qFormat/>
    <w:rsid w:val="00B40E1E"/>
    <w:pPr>
      <w:ind w:left="720"/>
      <w:contextualSpacing/>
    </w:pPr>
  </w:style>
  <w:style w:type="character" w:customStyle="1" w:styleId="Ttulo3Car">
    <w:name w:val="Título 3 Car"/>
    <w:basedOn w:val="Fuentedeprrafopredeter"/>
    <w:link w:val="Ttulo3"/>
    <w:uiPriority w:val="9"/>
    <w:semiHidden/>
    <w:rsid w:val="00B40E1E"/>
    <w:rPr>
      <w:rFonts w:asciiTheme="majorHAnsi" w:eastAsiaTheme="majorEastAsia" w:hAnsiTheme="majorHAnsi" w:cstheme="majorBidi"/>
      <w:b/>
      <w:bCs/>
      <w:color w:val="5B9BD5" w:themeColor="accent1"/>
    </w:rPr>
  </w:style>
  <w:style w:type="character" w:styleId="CitaHTML">
    <w:name w:val="HTML Cite"/>
    <w:basedOn w:val="Fuentedeprrafopredeter"/>
    <w:uiPriority w:val="99"/>
    <w:semiHidden/>
    <w:unhideWhenUsed/>
    <w:rsid w:val="00B40E1E"/>
    <w:rPr>
      <w:i/>
      <w:iCs/>
    </w:rPr>
  </w:style>
  <w:style w:type="character" w:styleId="nfasis">
    <w:name w:val="Emphasis"/>
    <w:basedOn w:val="Fuentedeprrafopredeter"/>
    <w:uiPriority w:val="20"/>
    <w:qFormat/>
    <w:rsid w:val="00B40E1E"/>
    <w:rPr>
      <w:i/>
      <w:iCs/>
    </w:rPr>
  </w:style>
  <w:style w:type="paragraph" w:styleId="NormalWeb">
    <w:name w:val="Normal (Web)"/>
    <w:basedOn w:val="Normal"/>
    <w:uiPriority w:val="99"/>
    <w:unhideWhenUsed/>
    <w:rsid w:val="00053ECC"/>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1268C6"/>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BD3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71"/>
    <w:rPr>
      <w:rFonts w:ascii="Tahoma" w:hAnsi="Tahoma" w:cs="Tahoma"/>
      <w:sz w:val="16"/>
      <w:szCs w:val="16"/>
    </w:rPr>
  </w:style>
  <w:style w:type="character" w:customStyle="1" w:styleId="pg-6ff1">
    <w:name w:val="pg-6ff1"/>
    <w:basedOn w:val="Fuentedeprrafopredeter"/>
    <w:rsid w:val="00C62739"/>
  </w:style>
  <w:style w:type="character" w:customStyle="1" w:styleId="a">
    <w:name w:val="_"/>
    <w:basedOn w:val="Fuentedeprrafopredeter"/>
    <w:rsid w:val="00C62739"/>
  </w:style>
  <w:style w:type="paragraph" w:styleId="Bibliografa">
    <w:name w:val="Bibliography"/>
    <w:basedOn w:val="Normal"/>
    <w:next w:val="Normal"/>
    <w:uiPriority w:val="37"/>
    <w:unhideWhenUsed/>
    <w:rsid w:val="006F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078">
      <w:bodyDiv w:val="1"/>
      <w:marLeft w:val="0"/>
      <w:marRight w:val="0"/>
      <w:marTop w:val="0"/>
      <w:marBottom w:val="0"/>
      <w:divBdr>
        <w:top w:val="none" w:sz="0" w:space="0" w:color="auto"/>
        <w:left w:val="none" w:sz="0" w:space="0" w:color="auto"/>
        <w:bottom w:val="none" w:sz="0" w:space="0" w:color="auto"/>
        <w:right w:val="none" w:sz="0" w:space="0" w:color="auto"/>
      </w:divBdr>
    </w:div>
    <w:div w:id="233704483">
      <w:bodyDiv w:val="1"/>
      <w:marLeft w:val="0"/>
      <w:marRight w:val="0"/>
      <w:marTop w:val="0"/>
      <w:marBottom w:val="0"/>
      <w:divBdr>
        <w:top w:val="none" w:sz="0" w:space="0" w:color="auto"/>
        <w:left w:val="none" w:sz="0" w:space="0" w:color="auto"/>
        <w:bottom w:val="none" w:sz="0" w:space="0" w:color="auto"/>
        <w:right w:val="none" w:sz="0" w:space="0" w:color="auto"/>
      </w:divBdr>
    </w:div>
    <w:div w:id="248320061">
      <w:bodyDiv w:val="1"/>
      <w:marLeft w:val="0"/>
      <w:marRight w:val="0"/>
      <w:marTop w:val="0"/>
      <w:marBottom w:val="0"/>
      <w:divBdr>
        <w:top w:val="none" w:sz="0" w:space="0" w:color="auto"/>
        <w:left w:val="none" w:sz="0" w:space="0" w:color="auto"/>
        <w:bottom w:val="none" w:sz="0" w:space="0" w:color="auto"/>
        <w:right w:val="none" w:sz="0" w:space="0" w:color="auto"/>
      </w:divBdr>
      <w:divsChild>
        <w:div w:id="2100173403">
          <w:marLeft w:val="105"/>
          <w:marRight w:val="105"/>
          <w:marTop w:val="0"/>
          <w:marBottom w:val="0"/>
          <w:divBdr>
            <w:top w:val="none" w:sz="0" w:space="0" w:color="auto"/>
            <w:left w:val="none" w:sz="0" w:space="0" w:color="auto"/>
            <w:bottom w:val="none" w:sz="0" w:space="0" w:color="auto"/>
            <w:right w:val="none" w:sz="0" w:space="0" w:color="auto"/>
          </w:divBdr>
        </w:div>
      </w:divsChild>
    </w:div>
    <w:div w:id="899752991">
      <w:bodyDiv w:val="1"/>
      <w:marLeft w:val="0"/>
      <w:marRight w:val="0"/>
      <w:marTop w:val="0"/>
      <w:marBottom w:val="0"/>
      <w:divBdr>
        <w:top w:val="none" w:sz="0" w:space="0" w:color="auto"/>
        <w:left w:val="none" w:sz="0" w:space="0" w:color="auto"/>
        <w:bottom w:val="none" w:sz="0" w:space="0" w:color="auto"/>
        <w:right w:val="none" w:sz="0" w:space="0" w:color="auto"/>
      </w:divBdr>
    </w:div>
    <w:div w:id="1263339862">
      <w:bodyDiv w:val="1"/>
      <w:marLeft w:val="0"/>
      <w:marRight w:val="0"/>
      <w:marTop w:val="0"/>
      <w:marBottom w:val="0"/>
      <w:divBdr>
        <w:top w:val="none" w:sz="0" w:space="0" w:color="auto"/>
        <w:left w:val="none" w:sz="0" w:space="0" w:color="auto"/>
        <w:bottom w:val="none" w:sz="0" w:space="0" w:color="auto"/>
        <w:right w:val="none" w:sz="0" w:space="0" w:color="auto"/>
      </w:divBdr>
      <w:divsChild>
        <w:div w:id="1437024715">
          <w:marLeft w:val="0"/>
          <w:marRight w:val="0"/>
          <w:marTop w:val="0"/>
          <w:marBottom w:val="0"/>
          <w:divBdr>
            <w:top w:val="none" w:sz="0" w:space="0" w:color="auto"/>
            <w:left w:val="none" w:sz="0" w:space="0" w:color="auto"/>
            <w:bottom w:val="none" w:sz="0" w:space="0" w:color="auto"/>
            <w:right w:val="none" w:sz="0" w:space="0" w:color="auto"/>
          </w:divBdr>
        </w:div>
        <w:div w:id="639724980">
          <w:marLeft w:val="0"/>
          <w:marRight w:val="0"/>
          <w:marTop w:val="0"/>
          <w:marBottom w:val="0"/>
          <w:divBdr>
            <w:top w:val="none" w:sz="0" w:space="0" w:color="auto"/>
            <w:left w:val="none" w:sz="0" w:space="0" w:color="auto"/>
            <w:bottom w:val="none" w:sz="0" w:space="0" w:color="auto"/>
            <w:right w:val="none" w:sz="0" w:space="0" w:color="auto"/>
          </w:divBdr>
        </w:div>
        <w:div w:id="829252639">
          <w:marLeft w:val="0"/>
          <w:marRight w:val="0"/>
          <w:marTop w:val="0"/>
          <w:marBottom w:val="0"/>
          <w:divBdr>
            <w:top w:val="none" w:sz="0" w:space="0" w:color="auto"/>
            <w:left w:val="none" w:sz="0" w:space="0" w:color="auto"/>
            <w:bottom w:val="none" w:sz="0" w:space="0" w:color="auto"/>
            <w:right w:val="none" w:sz="0" w:space="0" w:color="auto"/>
          </w:divBdr>
        </w:div>
        <w:div w:id="255211880">
          <w:marLeft w:val="0"/>
          <w:marRight w:val="0"/>
          <w:marTop w:val="0"/>
          <w:marBottom w:val="0"/>
          <w:divBdr>
            <w:top w:val="none" w:sz="0" w:space="0" w:color="auto"/>
            <w:left w:val="none" w:sz="0" w:space="0" w:color="auto"/>
            <w:bottom w:val="none" w:sz="0" w:space="0" w:color="auto"/>
            <w:right w:val="none" w:sz="0" w:space="0" w:color="auto"/>
          </w:divBdr>
        </w:div>
        <w:div w:id="1386485310">
          <w:marLeft w:val="0"/>
          <w:marRight w:val="0"/>
          <w:marTop w:val="0"/>
          <w:marBottom w:val="0"/>
          <w:divBdr>
            <w:top w:val="none" w:sz="0" w:space="0" w:color="auto"/>
            <w:left w:val="none" w:sz="0" w:space="0" w:color="auto"/>
            <w:bottom w:val="none" w:sz="0" w:space="0" w:color="auto"/>
            <w:right w:val="none" w:sz="0" w:space="0" w:color="auto"/>
          </w:divBdr>
        </w:div>
        <w:div w:id="1329793172">
          <w:marLeft w:val="0"/>
          <w:marRight w:val="0"/>
          <w:marTop w:val="0"/>
          <w:marBottom w:val="0"/>
          <w:divBdr>
            <w:top w:val="none" w:sz="0" w:space="0" w:color="auto"/>
            <w:left w:val="none" w:sz="0" w:space="0" w:color="auto"/>
            <w:bottom w:val="none" w:sz="0" w:space="0" w:color="auto"/>
            <w:right w:val="none" w:sz="0" w:space="0" w:color="auto"/>
          </w:divBdr>
        </w:div>
        <w:div w:id="655257445">
          <w:marLeft w:val="0"/>
          <w:marRight w:val="0"/>
          <w:marTop w:val="0"/>
          <w:marBottom w:val="0"/>
          <w:divBdr>
            <w:top w:val="none" w:sz="0" w:space="0" w:color="auto"/>
            <w:left w:val="none" w:sz="0" w:space="0" w:color="auto"/>
            <w:bottom w:val="none" w:sz="0" w:space="0" w:color="auto"/>
            <w:right w:val="none" w:sz="0" w:space="0" w:color="auto"/>
          </w:divBdr>
        </w:div>
        <w:div w:id="292910709">
          <w:marLeft w:val="0"/>
          <w:marRight w:val="0"/>
          <w:marTop w:val="0"/>
          <w:marBottom w:val="0"/>
          <w:divBdr>
            <w:top w:val="none" w:sz="0" w:space="0" w:color="auto"/>
            <w:left w:val="none" w:sz="0" w:space="0" w:color="auto"/>
            <w:bottom w:val="none" w:sz="0" w:space="0" w:color="auto"/>
            <w:right w:val="none" w:sz="0" w:space="0" w:color="auto"/>
          </w:divBdr>
        </w:div>
        <w:div w:id="461117092">
          <w:marLeft w:val="0"/>
          <w:marRight w:val="0"/>
          <w:marTop w:val="0"/>
          <w:marBottom w:val="0"/>
          <w:divBdr>
            <w:top w:val="none" w:sz="0" w:space="0" w:color="auto"/>
            <w:left w:val="none" w:sz="0" w:space="0" w:color="auto"/>
            <w:bottom w:val="none" w:sz="0" w:space="0" w:color="auto"/>
            <w:right w:val="none" w:sz="0" w:space="0" w:color="auto"/>
          </w:divBdr>
        </w:div>
        <w:div w:id="441343618">
          <w:marLeft w:val="0"/>
          <w:marRight w:val="0"/>
          <w:marTop w:val="0"/>
          <w:marBottom w:val="0"/>
          <w:divBdr>
            <w:top w:val="none" w:sz="0" w:space="0" w:color="auto"/>
            <w:left w:val="none" w:sz="0" w:space="0" w:color="auto"/>
            <w:bottom w:val="none" w:sz="0" w:space="0" w:color="auto"/>
            <w:right w:val="none" w:sz="0" w:space="0" w:color="auto"/>
          </w:divBdr>
        </w:div>
      </w:divsChild>
    </w:div>
    <w:div w:id="2084644503">
      <w:bodyDiv w:val="1"/>
      <w:marLeft w:val="0"/>
      <w:marRight w:val="0"/>
      <w:marTop w:val="0"/>
      <w:marBottom w:val="0"/>
      <w:divBdr>
        <w:top w:val="none" w:sz="0" w:space="0" w:color="auto"/>
        <w:left w:val="none" w:sz="0" w:space="0" w:color="auto"/>
        <w:bottom w:val="none" w:sz="0" w:space="0" w:color="auto"/>
        <w:right w:val="none" w:sz="0" w:space="0" w:color="auto"/>
      </w:divBdr>
    </w:div>
    <w:div w:id="21376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ehc-historia-centroamericana.org/index.php?action=fi_aff&amp;id=3170" TargetMode="External"/><Relationship Id="rId18" Type="http://schemas.openxmlformats.org/officeDocument/2006/relationships/hyperlink" Target="https://es.wikipedia.org/wiki/Karl_Marx" TargetMode="External"/><Relationship Id="rId26" Type="http://schemas.openxmlformats.org/officeDocument/2006/relationships/hyperlink" Target="https://es.wikipedia.org/w/index.php?title=Dani%C3%A8le_Hervieu-L%C3%A9ger&amp;action=edit&amp;redlink=1" TargetMode="External"/><Relationship Id="rId39" Type="http://schemas.openxmlformats.org/officeDocument/2006/relationships/hyperlink" Target="http://www.afehc-historia-centroamericana.org/index.php?action=fi_aff&amp;id=3906" TargetMode="External"/><Relationship Id="rId21" Type="http://schemas.openxmlformats.org/officeDocument/2006/relationships/hyperlink" Target="https://es.wikipedia.org/w/index.php?title=Michael_Plekon&amp;action=edit&amp;redlink=1" TargetMode="External"/><Relationship Id="rId34" Type="http://schemas.openxmlformats.org/officeDocument/2006/relationships/hyperlink" Target="http://www.afehc-historia-centroamericana.org/index.php?action=fi_aff&amp;id=4263" TargetMode="External"/><Relationship Id="rId42" Type="http://schemas.openxmlformats.org/officeDocument/2006/relationships/hyperlink" Target="http://www.seer.ufu.br/index.php/EducacaoFilosofia/article/viewArticle/922" TargetMode="External"/><Relationship Id="rId47" Type="http://schemas.openxmlformats.org/officeDocument/2006/relationships/hyperlink" Target="http://www.fuac.edu.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C3%89mile_Durkheim" TargetMode="External"/><Relationship Id="rId29" Type="http://schemas.openxmlformats.org/officeDocument/2006/relationships/hyperlink" Target="https://es.wikipedia.org/wiki/Cristi%C3%A1n_Parker_Gumucio" TargetMode="External"/><Relationship Id="rId11" Type="http://schemas.openxmlformats.org/officeDocument/2006/relationships/hyperlink" Target="http://www.afehc-historia-centroamericana.org/index.php?action=fi_aff&amp;id=3536" TargetMode="External"/><Relationship Id="rId24" Type="http://schemas.openxmlformats.org/officeDocument/2006/relationships/hyperlink" Target="https://es.wikipedia.org/wiki/Fran%C3%A7ois_Houtart" TargetMode="External"/><Relationship Id="rId32" Type="http://schemas.openxmlformats.org/officeDocument/2006/relationships/hyperlink" Target="https://es.wikipedia.org/w/index.php?title=Imelda_Vega-Centeno&amp;action=edit&amp;redlink=1" TargetMode="External"/><Relationship Id="rId37" Type="http://schemas.openxmlformats.org/officeDocument/2006/relationships/hyperlink" Target="http://www.afehc-historia-centroamericana.org/index.php?action=fi_aff&amp;id=2715" TargetMode="External"/><Relationship Id="rId40" Type="http://schemas.openxmlformats.org/officeDocument/2006/relationships/hyperlink" Target="http://www.jstor.org/stable/25139755" TargetMode="External"/><Relationship Id="rId45" Type="http://schemas.openxmlformats.org/officeDocument/2006/relationships/hyperlink" Target="https://www.academia.edu" TargetMode="External"/><Relationship Id="rId5" Type="http://schemas.openxmlformats.org/officeDocument/2006/relationships/webSettings" Target="webSettings.xml"/><Relationship Id="rId15" Type="http://schemas.openxmlformats.org/officeDocument/2006/relationships/hyperlink" Target="https://es.wikipedia.org/wiki/Siglo_XX" TargetMode="External"/><Relationship Id="rId23" Type="http://schemas.openxmlformats.org/officeDocument/2006/relationships/hyperlink" Target="https://es.wikipedia.org/w/index.php?title=Robert_Wuthnow&amp;action=edit&amp;redlink=1" TargetMode="External"/><Relationship Id="rId28" Type="http://schemas.openxmlformats.org/officeDocument/2006/relationships/hyperlink" Target="https://es.wikipedia.org/w/index.php?title=Christian_Smith&amp;action=edit&amp;redlink=1" TargetMode="External"/><Relationship Id="rId36" Type="http://schemas.openxmlformats.org/officeDocument/2006/relationships/hyperlink" Target="http://www.afehc-historia-centroamericana.org/index.php?action=fi_aff&amp;id=3170"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s.wikipedia.org/wiki/%C3%89mile_Poulat" TargetMode="External"/><Relationship Id="rId31" Type="http://schemas.openxmlformats.org/officeDocument/2006/relationships/hyperlink" Target="https://es.wikipedia.org/w/index.php?title=Otto_Maduro&amp;action=edit&amp;redlink=1" TargetMode="External"/><Relationship Id="rId44" Type="http://schemas.openxmlformats.org/officeDocument/2006/relationships/hyperlink" Target="http://pares.mc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Siglo_XIX" TargetMode="External"/><Relationship Id="rId22" Type="http://schemas.openxmlformats.org/officeDocument/2006/relationships/hyperlink" Target="https://es.wikipedia.org/wiki/Rodney_Stark" TargetMode="External"/><Relationship Id="rId27" Type="http://schemas.openxmlformats.org/officeDocument/2006/relationships/hyperlink" Target="https://es.wikipedia.org/w/index.php?title=James_Davison_Hunter&amp;action=edit&amp;redlink=1" TargetMode="External"/><Relationship Id="rId30" Type="http://schemas.openxmlformats.org/officeDocument/2006/relationships/hyperlink" Target="https://es.wikipedia.org/wiki/Fortunato_Mallimaci" TargetMode="External"/><Relationship Id="rId35" Type="http://schemas.openxmlformats.org/officeDocument/2006/relationships/hyperlink" Target="http://www.afehc-historia-centroamericana.org/index.php?action=fi_aff&amp;id=3165" TargetMode="External"/><Relationship Id="rId43" Type="http://schemas.openxmlformats.org/officeDocument/2006/relationships/hyperlink" Target="http://dialnet.unirioja.es/descarga/articulo/2480632.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fehc-historia-centroamericana.org/index.php?action=fi_aff&amp;id=2715" TargetMode="External"/><Relationship Id="rId17" Type="http://schemas.openxmlformats.org/officeDocument/2006/relationships/hyperlink" Target="https://es.wikipedia.org/wiki/Max_Weber" TargetMode="External"/><Relationship Id="rId25" Type="http://schemas.openxmlformats.org/officeDocument/2006/relationships/hyperlink" Target="https://es.wikipedia.org/wiki/Ren%C3%A9_R%C3%A9mond" TargetMode="External"/><Relationship Id="rId33" Type="http://schemas.openxmlformats.org/officeDocument/2006/relationships/hyperlink" Target="http://www.afehc-historia-centroamericana.org/index.php?action=fi_aff&amp;id=619" TargetMode="External"/><Relationship Id="rId38" Type="http://schemas.openxmlformats.org/officeDocument/2006/relationships/hyperlink" Target="http://www.afehc-historia-centroamericana.org/index.php?action=fi_aff&amp;id=3536" TargetMode="External"/><Relationship Id="rId46" Type="http://schemas.openxmlformats.org/officeDocument/2006/relationships/hyperlink" Target="http://www.fuac.edu.co/recursos_web/descargas/grafia/secular.pdf" TargetMode="External"/><Relationship Id="rId20" Type="http://schemas.openxmlformats.org/officeDocument/2006/relationships/hyperlink" Target="https://es.wikipedia.org/wiki/Peter_L._Berger" TargetMode="External"/><Relationship Id="rId41" Type="http://schemas.openxmlformats.org/officeDocument/2006/relationships/hyperlink" Target="http://search.proquest.com/openview/fa25940542f80c94286d86dd772025f1/1?pq-origsite=gscholar&amp;cbl=181803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Per10</b:Tag>
    <b:SourceType>DocumentFromInternetSite</b:SourceType>
    <b:Guid>{5E1C0069-52F4-44BB-8652-9398D1CFE8D3}</b:Guid>
    <b:Author>
      <b:Author>
        <b:NameList>
          <b:Person>
            <b:Last>Perez Agote</b:Last>
            <b:First>Alonso</b:First>
          </b:Person>
        </b:NameList>
      </b:Author>
    </b:Author>
    <b:Title>La secularizacion . Los limites de su validez</b:Title>
    <b:Year>2010</b:Year>
    <b:InternetSiteTitle>http://www.sagepub.net/isa/resources/pdf/Secularizaci%C3%B3n2013.pdf</b:InternetSiteTitle>
    <b:URL>http://www.sagepub.net/isa/resources/pdf/Secularizaci%C3%B3n2013.pdf</b:URL>
    <b:RefOrder>1</b:RefOrder>
  </b:Source>
  <b:Source>
    <b:Tag>Alv15</b:Tag>
    <b:SourceType>DocumentFromInternetSite</b:SourceType>
    <b:Guid>{5F117F64-1892-438E-A67E-81CE1F1F7F06}</b:Guid>
    <b:Author>
      <b:Author>
        <b:NameList>
          <b:Person>
            <b:Last>Alvarez Icaza</b:Last>
            <b:First>Maria</b:First>
            <b:Middle>Teresa</b:Middle>
          </b:Person>
        </b:NameList>
      </b:Author>
    </b:Author>
    <b:Title>La secularizacion de las doctrinas y misiones en el arzobispado de Mexico. 1749-1789</b:Title>
    <b:InternetSiteTitle>www.historicas.unam.mx/publicaciones/publicadigital/libros/secularizacion/sec000.pdf</b:InternetSiteTitle>
    <b:Year>2015</b:Year>
    <b:YearAccessed>2017</b:YearAccessed>
    <b:MonthAccessed>mayo</b:MonthAccessed>
    <b:DayAccessed>16</b:DayAccessed>
    <b:URL>www.historicas.unam.mx/publicaciones/publicadigital/libros/secularizacion/sec000.pdf</b:URL>
    <b:RefOrder>2</b:RefOrder>
  </b:Source>
  <b:Source>
    <b:Tag>Bel12</b:Tag>
    <b:SourceType>DocumentFromInternetSite</b:SourceType>
    <b:Guid>{DB5C9C6A-8929-48D6-A8DE-C033F3218A73}</b:Guid>
    <b:Author>
      <b:Author>
        <b:NameList>
          <b:Person>
            <b:Last>Belaudre</b:Last>
            <b:First>Christophe</b:First>
          </b:Person>
        </b:NameList>
      </b:Author>
    </b:Author>
    <b:Title>La educacion en el Reino de Guatemala: primeros pasos hacia la secularizacion de la enseñanza(1759-1821)</b:Title>
    <b:InternetSiteTitle>http://afehc-historia-centroamericana.org/</b:InternetSiteTitle>
    <b:Year>2012</b:Year>
    <b:Month>0ctubre</b:Month>
    <b:YearAccessed>2017</b:YearAccessed>
    <b:MonthAccessed>octubre</b:MonthAccessed>
    <b:DayAccessed>11</b:DayAccessed>
    <b:URL>http://afehc-historia-centroamericana.org/</b:URL>
    <b:RefOrder>3</b:RefOrder>
  </b:Source>
</b:Sources>
</file>

<file path=customXml/itemProps1.xml><?xml version="1.0" encoding="utf-8"?>
<ds:datastoreItem xmlns:ds="http://schemas.openxmlformats.org/officeDocument/2006/customXml" ds:itemID="{5AD25A9F-D781-4728-BD28-BCEBB3A1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4489</Words>
  <Characters>24692</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TRPRIMARIA2</dc:creator>
  <cp:lastModifiedBy>DELL</cp:lastModifiedBy>
  <cp:revision>2</cp:revision>
  <dcterms:created xsi:type="dcterms:W3CDTF">2017-10-19T02:28:00Z</dcterms:created>
  <dcterms:modified xsi:type="dcterms:W3CDTF">2017-10-19T02:28:00Z</dcterms:modified>
</cp:coreProperties>
</file>