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C3" w:rsidRDefault="006D019F">
      <w:pPr>
        <w:spacing w:before="480" w:line="480" w:lineRule="auto"/>
        <w:ind w:left="0"/>
        <w:jc w:val="center"/>
        <w:rPr>
          <w:rFonts w:ascii="Arial Narrow" w:eastAsia="Arial Narrow" w:hAnsi="Arial Narrow"/>
          <w:b/>
          <w:sz w:val="28"/>
          <w:szCs w:val="28"/>
        </w:rPr>
      </w:pPr>
      <w:r>
        <w:rPr>
          <w:rFonts w:ascii="Arial Narrow" w:eastAsia="Arial Narrow" w:hAnsi="Arial Narrow"/>
          <w:b/>
          <w:sz w:val="28"/>
          <w:szCs w:val="28"/>
        </w:rPr>
        <w:t>La Gestión Difusora: una herramienta para la conservación del patrimonio cultural en Honduras.</w:t>
      </w:r>
      <w:bookmarkStart w:id="0" w:name="_GoBack"/>
      <w:bookmarkEnd w:id="0"/>
    </w:p>
    <w:p w:rsidR="00606559" w:rsidRPr="00BC3493" w:rsidRDefault="00606559" w:rsidP="00606559">
      <w:pPr>
        <w:ind w:left="0"/>
        <w:jc w:val="right"/>
        <w:rPr>
          <w:rFonts w:ascii="Arial Narrow" w:hAnsi="Arial Narrow"/>
          <w:b/>
          <w:sz w:val="24"/>
          <w:szCs w:val="24"/>
          <w:lang w:val="en-US"/>
        </w:rPr>
      </w:pPr>
      <w:r w:rsidRPr="00BC3493">
        <w:rPr>
          <w:rFonts w:ascii="Arial Narrow" w:hAnsi="Arial Narrow"/>
          <w:b/>
          <w:sz w:val="24"/>
          <w:szCs w:val="24"/>
          <w:lang w:val="en-US"/>
        </w:rPr>
        <w:t>Dennis Eduardo Ramírez Giménez</w:t>
      </w:r>
      <w:r>
        <w:rPr>
          <w:rStyle w:val="Refdenotaalpie"/>
          <w:rFonts w:ascii="Arial Narrow" w:hAnsi="Arial Narrow"/>
          <w:b/>
        </w:rPr>
        <w:footnoteReference w:id="1"/>
      </w:r>
    </w:p>
    <w:p w:rsidR="00606559" w:rsidRPr="00BC3493" w:rsidRDefault="00285D9E" w:rsidP="00606559">
      <w:pPr>
        <w:ind w:left="0"/>
        <w:jc w:val="right"/>
        <w:rPr>
          <w:rFonts w:ascii="Arial Narrow" w:hAnsi="Arial Narrow"/>
          <w:b/>
          <w:lang w:val="en-US"/>
        </w:rPr>
      </w:pPr>
      <w:hyperlink r:id="rId8" w:history="1">
        <w:r w:rsidR="00606559" w:rsidRPr="00BC3493">
          <w:rPr>
            <w:rStyle w:val="Hipervnculo"/>
            <w:rFonts w:ascii="Arial Narrow" w:hAnsi="Arial Narrow"/>
            <w:b/>
            <w:color w:val="auto"/>
            <w:u w:val="none"/>
            <w:lang w:val="en-US"/>
          </w:rPr>
          <w:t>denniseduardoramirez@gmail.com</w:t>
        </w:r>
      </w:hyperlink>
    </w:p>
    <w:p w:rsidR="00606559" w:rsidRPr="00BC3493" w:rsidRDefault="00606559" w:rsidP="00606559">
      <w:pPr>
        <w:spacing w:line="480" w:lineRule="auto"/>
        <w:ind w:left="0"/>
        <w:jc w:val="right"/>
        <w:rPr>
          <w:rFonts w:ascii="Arial Narrow" w:hAnsi="Arial Narrow"/>
          <w:b/>
          <w:lang w:val="en-US"/>
        </w:rPr>
      </w:pPr>
    </w:p>
    <w:p w:rsidR="00556FC3" w:rsidRDefault="006D019F">
      <w:pPr>
        <w:spacing w:line="480" w:lineRule="auto"/>
        <w:ind w:left="0"/>
        <w:jc w:val="both"/>
        <w:rPr>
          <w:rFonts w:ascii="Arial Narrow" w:eastAsia="Arial Narrow" w:hAnsi="Arial Narrow"/>
          <w:i/>
          <w:sz w:val="24"/>
          <w:szCs w:val="24"/>
        </w:rPr>
      </w:pPr>
      <w:r>
        <w:rPr>
          <w:rFonts w:ascii="Arial Narrow" w:eastAsia="Arial Narrow" w:hAnsi="Arial Narrow"/>
          <w:i/>
          <w:sz w:val="24"/>
          <w:szCs w:val="24"/>
        </w:rPr>
        <w:t>Resumen</w:t>
      </w:r>
    </w:p>
    <w:p w:rsidR="00165165" w:rsidRDefault="00C96DD3" w:rsidP="004E299A">
      <w:pPr>
        <w:spacing w:line="480" w:lineRule="auto"/>
        <w:ind w:left="0"/>
        <w:jc w:val="both"/>
        <w:rPr>
          <w:rFonts w:ascii="Arial Narrow" w:eastAsia="Arial Narrow" w:hAnsi="Arial Narrow"/>
          <w:sz w:val="24"/>
          <w:szCs w:val="24"/>
        </w:rPr>
      </w:pPr>
      <w:r w:rsidRPr="00C96DD3">
        <w:rPr>
          <w:rFonts w:ascii="Arial Narrow" w:eastAsia="Arial Narrow" w:hAnsi="Arial Narrow"/>
          <w:sz w:val="24"/>
          <w:szCs w:val="24"/>
        </w:rPr>
        <w:t>Honduras posee una gran diversidad cultural, tanto así que los hondureños solo conocemos una minúscula parte de</w:t>
      </w:r>
      <w:r w:rsidR="00BC3493">
        <w:rPr>
          <w:rFonts w:ascii="Arial Narrow" w:eastAsia="Arial Narrow" w:hAnsi="Arial Narrow"/>
          <w:sz w:val="24"/>
          <w:szCs w:val="24"/>
        </w:rPr>
        <w:t xml:space="preserve"> todo es</w:t>
      </w:r>
      <w:r w:rsidR="00644ADC">
        <w:rPr>
          <w:rFonts w:ascii="Arial Narrow" w:eastAsia="Arial Narrow" w:hAnsi="Arial Narrow"/>
          <w:sz w:val="24"/>
          <w:szCs w:val="24"/>
        </w:rPr>
        <w:t>e entorno</w:t>
      </w:r>
      <w:r w:rsidRPr="00C96DD3">
        <w:rPr>
          <w:rFonts w:ascii="Arial Narrow" w:eastAsia="Arial Narrow" w:hAnsi="Arial Narrow"/>
          <w:sz w:val="24"/>
          <w:szCs w:val="24"/>
        </w:rPr>
        <w:t xml:space="preserve">. </w:t>
      </w:r>
      <w:r w:rsidR="004E299A">
        <w:rPr>
          <w:rFonts w:ascii="Arial Narrow" w:eastAsia="Arial Narrow" w:hAnsi="Arial Narrow"/>
          <w:sz w:val="24"/>
          <w:szCs w:val="24"/>
        </w:rPr>
        <w:t xml:space="preserve">Entre los factores que han determinado esta realidad podemos destacar los siguientes, </w:t>
      </w:r>
      <w:r w:rsidRPr="00C96DD3">
        <w:rPr>
          <w:rFonts w:ascii="Arial Narrow" w:eastAsia="Arial Narrow" w:hAnsi="Arial Narrow"/>
          <w:sz w:val="24"/>
          <w:szCs w:val="24"/>
        </w:rPr>
        <w:t xml:space="preserve">la falta de apoyo estatal al sector cultural, las escasas estrategias para dar a conocer los bienes culturales a la población, </w:t>
      </w:r>
      <w:r w:rsidR="00E87F25" w:rsidRPr="00E87F25">
        <w:rPr>
          <w:rFonts w:ascii="Arial Narrow" w:eastAsia="Arial Narrow" w:hAnsi="Arial Narrow"/>
          <w:sz w:val="24"/>
          <w:szCs w:val="24"/>
        </w:rPr>
        <w:t>que el registro del patrimonio cultural tangible e intangible del país no sea un proceso continuo o sistemático,</w:t>
      </w:r>
      <w:r w:rsidR="00E87F25">
        <w:rPr>
          <w:rFonts w:ascii="Arial Narrow" w:eastAsia="Arial Narrow" w:hAnsi="Arial Narrow"/>
          <w:sz w:val="24"/>
          <w:szCs w:val="24"/>
        </w:rPr>
        <w:t xml:space="preserve"> etc</w:t>
      </w:r>
      <w:r w:rsidRPr="00C96DD3">
        <w:rPr>
          <w:rFonts w:ascii="Arial Narrow" w:eastAsia="Arial Narrow" w:hAnsi="Arial Narrow"/>
          <w:sz w:val="24"/>
          <w:szCs w:val="24"/>
        </w:rPr>
        <w:t>. Algunas situaciones que trae con</w:t>
      </w:r>
      <w:r w:rsidR="00BC0E3E">
        <w:rPr>
          <w:rFonts w:ascii="Arial Narrow" w:eastAsia="Arial Narrow" w:hAnsi="Arial Narrow"/>
          <w:sz w:val="24"/>
          <w:szCs w:val="24"/>
        </w:rPr>
        <w:t xml:space="preserve">sigo esta problemática es que </w:t>
      </w:r>
      <w:r w:rsidRPr="00C96DD3">
        <w:rPr>
          <w:rFonts w:ascii="Arial Narrow" w:eastAsia="Arial Narrow" w:hAnsi="Arial Narrow"/>
          <w:sz w:val="24"/>
          <w:szCs w:val="24"/>
        </w:rPr>
        <w:t>no se puede cuidar algo que no se c</w:t>
      </w:r>
      <w:r w:rsidR="00BC0E3E">
        <w:rPr>
          <w:rFonts w:ascii="Arial Narrow" w:eastAsia="Arial Narrow" w:hAnsi="Arial Narrow"/>
          <w:sz w:val="24"/>
          <w:szCs w:val="24"/>
        </w:rPr>
        <w:t>onoce y mucho menos valorarlo.</w:t>
      </w:r>
    </w:p>
    <w:p w:rsidR="00BC3493" w:rsidRDefault="00BC3493">
      <w:pPr>
        <w:spacing w:line="480" w:lineRule="auto"/>
        <w:ind w:left="0"/>
        <w:jc w:val="both"/>
        <w:rPr>
          <w:rFonts w:ascii="Arial Narrow" w:eastAsia="Arial Narrow" w:hAnsi="Arial Narrow"/>
          <w:sz w:val="24"/>
          <w:szCs w:val="24"/>
        </w:rPr>
      </w:pPr>
    </w:p>
    <w:p w:rsidR="00556FC3" w:rsidRDefault="003C2EC2">
      <w:pPr>
        <w:spacing w:line="480" w:lineRule="auto"/>
        <w:ind w:left="0"/>
        <w:jc w:val="both"/>
        <w:rPr>
          <w:rFonts w:ascii="Arial Narrow" w:eastAsia="Arial Narrow" w:hAnsi="Arial Narrow"/>
          <w:color w:val="FF0000"/>
          <w:sz w:val="24"/>
          <w:szCs w:val="24"/>
        </w:rPr>
      </w:pPr>
      <w:r>
        <w:rPr>
          <w:rFonts w:ascii="Arial Narrow" w:eastAsia="Arial Narrow" w:hAnsi="Arial Narrow"/>
          <w:sz w:val="24"/>
          <w:szCs w:val="24"/>
        </w:rPr>
        <w:t xml:space="preserve">Desde esta perspectiva, el presente artículo </w:t>
      </w:r>
      <w:r w:rsidR="006D019F">
        <w:rPr>
          <w:rFonts w:ascii="Arial Narrow" w:eastAsia="Arial Narrow" w:hAnsi="Arial Narrow"/>
          <w:sz w:val="24"/>
          <w:szCs w:val="24"/>
        </w:rPr>
        <w:t xml:space="preserve">tiene como objetivo principal verificar si la “gestión difusora” que se ha desarrollado en torno al patrimonio cultural en Honduras, ha contribuido en el reconocimiento y conservación de los bienes culturales por parte de la población. Para el cumplimiento de tal propósito analizaremos las estrategias que el Estado de Honduras y </w:t>
      </w:r>
      <w:r w:rsidR="00EF4386">
        <w:rPr>
          <w:rFonts w:ascii="Arial Narrow" w:eastAsia="Arial Narrow" w:hAnsi="Arial Narrow"/>
          <w:sz w:val="24"/>
          <w:szCs w:val="24"/>
        </w:rPr>
        <w:t xml:space="preserve">algunas </w:t>
      </w:r>
      <w:r w:rsidR="006D019F">
        <w:rPr>
          <w:rFonts w:ascii="Arial Narrow" w:eastAsia="Arial Narrow" w:hAnsi="Arial Narrow"/>
          <w:sz w:val="24"/>
          <w:szCs w:val="24"/>
        </w:rPr>
        <w:t xml:space="preserve">personas han implementado, cuáles de estas se pueden retomar y las que han sido exitosas en otros países. Con esta propuesta se pretende destacar la importancia que tiene la promoción adecuada del patrimonio cultural, encaminada a la sensibilización de la sociedad en el disfrute y preservación de la herencia cultural que distingue a cada pueblo. </w:t>
      </w:r>
    </w:p>
    <w:p w:rsidR="00556FC3" w:rsidRDefault="00556FC3">
      <w:pPr>
        <w:spacing w:line="480" w:lineRule="auto"/>
        <w:ind w:left="0"/>
        <w:jc w:val="both"/>
        <w:rPr>
          <w:rFonts w:ascii="Arial Narrow" w:eastAsia="Arial Narrow" w:hAnsi="Arial Narrow"/>
          <w:i/>
          <w:sz w:val="24"/>
          <w:szCs w:val="24"/>
        </w:rPr>
      </w:pPr>
    </w:p>
    <w:p w:rsidR="00556FC3" w:rsidRDefault="006D019F">
      <w:pPr>
        <w:spacing w:line="480" w:lineRule="auto"/>
        <w:ind w:left="0"/>
        <w:jc w:val="both"/>
        <w:rPr>
          <w:rFonts w:ascii="Arial Narrow" w:eastAsia="Arial Narrow" w:hAnsi="Arial Narrow"/>
          <w:i/>
          <w:sz w:val="24"/>
          <w:szCs w:val="24"/>
          <w:lang w:val="es-ES"/>
        </w:rPr>
      </w:pPr>
      <w:r>
        <w:rPr>
          <w:rFonts w:ascii="Arial Narrow" w:eastAsia="Arial Narrow" w:hAnsi="Arial Narrow"/>
          <w:sz w:val="24"/>
          <w:szCs w:val="24"/>
        </w:rPr>
        <w:t xml:space="preserve">Palabras claves: promoción cultural, sensibilización, aprovechamiento social </w:t>
      </w:r>
    </w:p>
    <w:p w:rsidR="00556FC3" w:rsidRPr="00936756" w:rsidRDefault="006D019F">
      <w:pPr>
        <w:spacing w:after="240" w:line="480" w:lineRule="auto"/>
        <w:ind w:left="0"/>
        <w:jc w:val="both"/>
        <w:rPr>
          <w:rFonts w:ascii="Arial Narrow" w:eastAsia="Arial Narrow" w:hAnsi="Arial Narrow"/>
          <w:sz w:val="24"/>
          <w:szCs w:val="24"/>
          <w:lang w:val="en-US"/>
        </w:rPr>
      </w:pPr>
      <w:r w:rsidRPr="00936756">
        <w:rPr>
          <w:rFonts w:ascii="Arial Narrow" w:eastAsia="Arial Narrow" w:hAnsi="Arial Narrow"/>
          <w:sz w:val="24"/>
          <w:szCs w:val="24"/>
          <w:lang w:val="en-US"/>
        </w:rPr>
        <w:lastRenderedPageBreak/>
        <w:t>Abstract</w:t>
      </w:r>
    </w:p>
    <w:p w:rsidR="00936756" w:rsidRDefault="00936756" w:rsidP="00936756">
      <w:pPr>
        <w:spacing w:after="240" w:line="480" w:lineRule="auto"/>
        <w:ind w:left="0"/>
        <w:jc w:val="both"/>
        <w:rPr>
          <w:rFonts w:ascii="Arial Narrow" w:eastAsia="Arial Narrow" w:hAnsi="Arial Narrow"/>
          <w:sz w:val="24"/>
          <w:szCs w:val="24"/>
          <w:lang w:val="en-US"/>
        </w:rPr>
      </w:pPr>
      <w:r w:rsidRPr="00936756">
        <w:rPr>
          <w:rFonts w:ascii="Arial Narrow" w:eastAsia="Arial Narrow" w:hAnsi="Arial Narrow"/>
          <w:sz w:val="24"/>
          <w:szCs w:val="24"/>
          <w:lang w:val="en-US"/>
        </w:rPr>
        <w:t>Honduras has a great cultural diversity, so much so that Hondurans know only a tiny part of their cultural environment. Among the factors that have determined this reality, we can highlight the following: the lack of state support to the cultural sector, the scarce strategies to make cultural assets known to the population, the fact that the registry of the tangible and intangible cultural heritage of the country is not a continuous or systematic process, among others. Some situations that brings wit</w:t>
      </w:r>
      <w:r>
        <w:rPr>
          <w:rFonts w:ascii="Arial Narrow" w:eastAsia="Arial Narrow" w:hAnsi="Arial Narrow"/>
          <w:sz w:val="24"/>
          <w:szCs w:val="24"/>
          <w:lang w:val="en-US"/>
        </w:rPr>
        <w:t>h this problem is that you can´</w:t>
      </w:r>
      <w:r w:rsidRPr="00936756">
        <w:rPr>
          <w:rFonts w:ascii="Arial Narrow" w:eastAsia="Arial Narrow" w:hAnsi="Arial Narrow"/>
          <w:sz w:val="24"/>
          <w:szCs w:val="24"/>
          <w:lang w:val="en-US"/>
        </w:rPr>
        <w:t>t take care of something that is not known and much less value it.</w:t>
      </w:r>
    </w:p>
    <w:p w:rsidR="00936756" w:rsidRPr="00936756" w:rsidRDefault="00936756" w:rsidP="00936756">
      <w:pPr>
        <w:ind w:left="0"/>
        <w:rPr>
          <w:rFonts w:ascii="Arial Narrow" w:eastAsia="Arial Narrow" w:hAnsi="Arial Narrow"/>
          <w:sz w:val="24"/>
          <w:szCs w:val="24"/>
          <w:lang w:val="en-US"/>
        </w:rPr>
      </w:pPr>
    </w:p>
    <w:p w:rsidR="00556FC3" w:rsidRPr="00283A6A" w:rsidRDefault="006D019F">
      <w:pPr>
        <w:spacing w:after="240" w:line="480" w:lineRule="auto"/>
        <w:ind w:left="0"/>
        <w:jc w:val="both"/>
        <w:rPr>
          <w:rFonts w:ascii="Arial Narrow" w:eastAsia="Arial Narrow" w:hAnsi="Arial Narrow"/>
          <w:sz w:val="24"/>
          <w:szCs w:val="24"/>
          <w:lang w:val="en-US"/>
        </w:rPr>
      </w:pPr>
      <w:r w:rsidRPr="00283A6A">
        <w:rPr>
          <w:rFonts w:ascii="Arial Narrow" w:eastAsia="Arial Narrow" w:hAnsi="Arial Narrow"/>
          <w:sz w:val="24"/>
          <w:szCs w:val="24"/>
          <w:lang w:val="en-US"/>
        </w:rPr>
        <w:t>The present article has the main objective to verify the "Diffuser management" that has been developed around the cultural heritage in Honduras; it has contributed in the acknowledgement and conservation of the cultural properties in behalf of the population. In order to comply with such purpose we will analyze the strategies the State of Honduras and Individual people has implemented, which ones can be resumed and those successful in other countries.  With this proposal the intent is to highlight the importance of an adequate promotion of cultural heritage, aimed towards the awareness of the society in the enjoyment and preservation of the cultural heritage that distinguishes each nation.</w:t>
      </w:r>
    </w:p>
    <w:p w:rsidR="00556FC3" w:rsidRPr="00283A6A" w:rsidRDefault="006D019F">
      <w:pPr>
        <w:spacing w:before="480" w:after="240" w:line="480" w:lineRule="auto"/>
        <w:ind w:left="0"/>
        <w:jc w:val="both"/>
        <w:rPr>
          <w:rFonts w:ascii="Arial Narrow" w:eastAsia="Arial Narrow" w:hAnsi="Arial Narrow"/>
          <w:sz w:val="24"/>
          <w:szCs w:val="24"/>
          <w:lang w:val="en-US"/>
        </w:rPr>
      </w:pPr>
      <w:r w:rsidRPr="00283A6A">
        <w:rPr>
          <w:rFonts w:ascii="Arial Narrow" w:eastAsia="Arial Narrow" w:hAnsi="Arial Narrow"/>
          <w:sz w:val="24"/>
          <w:szCs w:val="24"/>
          <w:lang w:val="en-US"/>
        </w:rPr>
        <w:t>Key Words: Cultural promotion,</w:t>
      </w:r>
      <w:r w:rsidR="004E299A">
        <w:rPr>
          <w:rFonts w:ascii="Arial Narrow" w:eastAsia="Arial Narrow" w:hAnsi="Arial Narrow"/>
          <w:sz w:val="24"/>
          <w:szCs w:val="24"/>
          <w:lang w:val="en-US"/>
        </w:rPr>
        <w:t xml:space="preserve"> awareness, social utilization.</w:t>
      </w:r>
    </w:p>
    <w:p w:rsidR="00556FC3" w:rsidRPr="00283A6A" w:rsidRDefault="00556FC3">
      <w:pPr>
        <w:spacing w:line="480" w:lineRule="auto"/>
        <w:ind w:left="0"/>
        <w:jc w:val="center"/>
        <w:rPr>
          <w:rFonts w:ascii="Arial Narrow" w:eastAsia="Arial Narrow" w:hAnsi="Arial Narrow"/>
          <w:i/>
          <w:sz w:val="24"/>
          <w:szCs w:val="24"/>
          <w:lang w:val="en-US"/>
        </w:rPr>
      </w:pPr>
    </w:p>
    <w:p w:rsidR="00556FC3" w:rsidRDefault="006D019F">
      <w:pPr>
        <w:pStyle w:val="Prrafodelista"/>
        <w:numPr>
          <w:ilvl w:val="0"/>
          <w:numId w:val="4"/>
        </w:numPr>
        <w:spacing w:line="480" w:lineRule="auto"/>
        <w:ind w:left="0"/>
        <w:contextualSpacing/>
        <w:jc w:val="center"/>
        <w:rPr>
          <w:rFonts w:ascii="Arial Narrow" w:eastAsia="Arial Narrow" w:hAnsi="Arial Narrow"/>
          <w:b/>
        </w:rPr>
      </w:pPr>
      <w:r>
        <w:rPr>
          <w:rFonts w:ascii="Arial Narrow" w:eastAsia="Arial Narrow" w:hAnsi="Arial Narrow"/>
          <w:b/>
        </w:rPr>
        <w:t>Introducción</w:t>
      </w:r>
    </w:p>
    <w:p w:rsidR="00556FC3" w:rsidRDefault="00556FC3">
      <w:pPr>
        <w:spacing w:line="480" w:lineRule="auto"/>
        <w:ind w:left="0"/>
        <w:jc w:val="center"/>
        <w:rPr>
          <w:rFonts w:ascii="Arial Narrow" w:eastAsia="Arial Narrow" w:hAnsi="Arial Narrow"/>
          <w:i/>
          <w:sz w:val="24"/>
          <w:szCs w:val="24"/>
        </w:rPr>
      </w:pPr>
    </w:p>
    <w:p w:rsidR="00556FC3" w:rsidRDefault="006D019F">
      <w:pPr>
        <w:spacing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Actualmente la cultura no es tomada en cuenta como un elemento transversal de la sociedad, el Estado ha diezmado las instituciones encargadas de impulsarla, mientras tanto acontecen situaciones en detrimento del patrimonio cultural, por mencionar algunas: los grafitis sobre los </w:t>
      </w:r>
      <w:r>
        <w:rPr>
          <w:rFonts w:ascii="Arial Narrow" w:eastAsia="Arial Narrow" w:hAnsi="Arial Narrow"/>
          <w:sz w:val="24"/>
          <w:szCs w:val="24"/>
        </w:rPr>
        <w:lastRenderedPageBreak/>
        <w:t>petroglifos y arte rupestre en las cuevas de Ayasta, el tráfico ilícito de piezas patrimoniales, la destrucción por socavación (ocasionado por la extracción de arena) en el sitio arqueológico de Yarumela, destrucción de varios edificios patrimoniales en el centro histórico de Tegucigalpa, pérdida de tradiciones ancestrales como la compostura, debido a la oposición radical de algunas iglesias en el occidente del país,  el incendio del palacio episcopal de Comayagua que además de los daños en la infraestructura del edificio, también se perdió una cantidad considerable de Patrimonio documental (cantidad desconocida por la ausencia de inventarios).</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La sociedad hondureña necesita conocer su herencia cultural para empoderarse de ella y poder protegerla. Es aquí donde radica la importancia de la gestión difusora, ya que cumple un papel determinante como vinculo entre el patrimonio cultural y la población, para que se vuelva sensible y provechoso a la sociedad en todo aquello que involucre el disfrute y conservación de los bienes culturales.</w:t>
      </w:r>
      <w:r w:rsidR="00932A92">
        <w:rPr>
          <w:rFonts w:ascii="Arial Narrow" w:eastAsia="Arial Narrow" w:hAnsi="Arial Narrow"/>
          <w:sz w:val="24"/>
          <w:szCs w:val="24"/>
        </w:rPr>
        <w:t xml:space="preserve"> </w:t>
      </w:r>
      <w:r>
        <w:rPr>
          <w:rFonts w:ascii="Arial Narrow" w:eastAsia="Arial Narrow" w:hAnsi="Arial Narrow"/>
          <w:sz w:val="24"/>
          <w:szCs w:val="24"/>
        </w:rPr>
        <w:t xml:space="preserve">De esta manera se llega a comprender que esta es la herencia que distingue y confiere singularidad a cada pueblo. </w:t>
      </w:r>
    </w:p>
    <w:p w:rsidR="00556FC3" w:rsidRDefault="006D019F">
      <w:pPr>
        <w:spacing w:before="480" w:line="480" w:lineRule="auto"/>
        <w:ind w:left="0"/>
        <w:jc w:val="center"/>
        <w:rPr>
          <w:rFonts w:ascii="Arial Narrow" w:eastAsia="Arial Narrow" w:hAnsi="Arial Narrow"/>
          <w:i/>
          <w:sz w:val="24"/>
          <w:szCs w:val="24"/>
        </w:rPr>
      </w:pPr>
      <w:r>
        <w:rPr>
          <w:rFonts w:ascii="Arial Narrow" w:eastAsia="Arial Narrow" w:hAnsi="Arial Narrow"/>
          <w:i/>
          <w:sz w:val="24"/>
          <w:szCs w:val="24"/>
        </w:rPr>
        <w:t>Desarrollo del tema</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Esta investigación es de carácter </w:t>
      </w:r>
      <w:r>
        <w:rPr>
          <w:rFonts w:ascii="Arial Narrow" w:eastAsia="Arial Narrow" w:hAnsi="Arial Narrow"/>
          <w:color w:val="000000"/>
          <w:sz w:val="24"/>
          <w:szCs w:val="24"/>
        </w:rPr>
        <w:t>exploratoria,</w:t>
      </w:r>
      <w:r>
        <w:rPr>
          <w:rFonts w:ascii="Segoe UI" w:eastAsia="Segoe UI" w:hAnsi="Segoe UI"/>
          <w:color w:val="000000"/>
        </w:rPr>
        <w:t xml:space="preserve"> p</w:t>
      </w:r>
      <w:r>
        <w:rPr>
          <w:rFonts w:ascii="Arial Narrow" w:eastAsia="Arial Narrow" w:hAnsi="Arial Narrow"/>
          <w:color w:val="000000"/>
          <w:sz w:val="24"/>
          <w:szCs w:val="24"/>
        </w:rPr>
        <w:t>ara la cual se realizó una rev</w:t>
      </w:r>
      <w:r>
        <w:rPr>
          <w:rFonts w:ascii="Arial Narrow" w:eastAsia="Arial Narrow" w:hAnsi="Arial Narrow"/>
          <w:sz w:val="24"/>
          <w:szCs w:val="24"/>
        </w:rPr>
        <w:t>isión documental sobre esta temática y donde se encontró como principal insumo los resultados de las Estrategias divididas en 8 Regionales culturales en toda Honduras.</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Dichas estrategias tiene como principal objetivo: “la planificación cultural del territorio, la cual sentará las bases para la definición de políticas culturales y un plan nacional de desarrollo cultural con visión de largo plazo”. (Mejía, 2011, pág. 13).</w:t>
      </w:r>
    </w:p>
    <w:p w:rsidR="00556FC3" w:rsidRPr="00EB0CF5" w:rsidRDefault="006D019F" w:rsidP="00EB0CF5">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De  los resultados de estas estrategias se realizó una compilación de las problemáticas que m</w:t>
      </w:r>
      <w:r w:rsidR="00F64132">
        <w:rPr>
          <w:rFonts w:ascii="Arial Narrow" w:eastAsia="Arial Narrow" w:hAnsi="Arial Narrow"/>
          <w:sz w:val="24"/>
          <w:szCs w:val="24"/>
        </w:rPr>
        <w:t>ás se repetían en las regiones, t</w:t>
      </w:r>
      <w:r>
        <w:rPr>
          <w:rFonts w:ascii="Arial Narrow" w:eastAsia="Arial Narrow" w:hAnsi="Arial Narrow"/>
          <w:sz w:val="24"/>
          <w:szCs w:val="24"/>
        </w:rPr>
        <w:t>al como lo muestra el Gráfico Nº1</w:t>
      </w:r>
      <w:r w:rsidR="00EB0CF5">
        <w:rPr>
          <w:rStyle w:val="Refdenotaalpie"/>
          <w:rFonts w:ascii="Arial Narrow" w:eastAsia="Arial Narrow" w:hAnsi="Arial Narrow"/>
        </w:rPr>
        <w:footnoteReference w:id="2"/>
      </w:r>
      <w:r>
        <w:rPr>
          <w:rFonts w:ascii="Arial Narrow" w:eastAsia="Arial Narrow" w:hAnsi="Arial Narrow"/>
          <w:sz w:val="24"/>
          <w:szCs w:val="24"/>
        </w:rPr>
        <w:t>.</w:t>
      </w:r>
    </w:p>
    <w:p w:rsidR="00FC69A5" w:rsidRDefault="00FC69A5">
      <w:pPr>
        <w:spacing w:before="480" w:line="480" w:lineRule="auto"/>
        <w:ind w:left="0"/>
        <w:jc w:val="both"/>
        <w:rPr>
          <w:rFonts w:ascii="Arial Narrow" w:eastAsia="Arial Narrow" w:hAnsi="Arial Narrow"/>
          <w:sz w:val="24"/>
          <w:szCs w:val="24"/>
        </w:rPr>
      </w:pPr>
      <w:r>
        <w:rPr>
          <w:rFonts w:ascii="Arial Narrow" w:eastAsia="Arial Narrow" w:hAnsi="Arial Narrow"/>
          <w:noProof/>
          <w:sz w:val="24"/>
          <w:szCs w:val="24"/>
        </w:rPr>
        <w:drawing>
          <wp:anchor distT="0" distB="0" distL="114300" distR="114300" simplePos="0" relativeHeight="251658240" behindDoc="0" locked="0" layoutInCell="1" allowOverlap="1">
            <wp:simplePos x="0" y="0"/>
            <wp:positionH relativeFrom="column">
              <wp:posOffset>510540</wp:posOffset>
            </wp:positionH>
            <wp:positionV relativeFrom="paragraph">
              <wp:posOffset>74930</wp:posOffset>
            </wp:positionV>
            <wp:extent cx="4248150" cy="3808730"/>
            <wp:effectExtent l="19050" t="0" r="0" b="0"/>
            <wp:wrapSquare wrapText="bothSides"/>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8571" t="22026" r="18695" b="16300"/>
                    <a:stretch>
                      <a:fillRect/>
                    </a:stretch>
                  </pic:blipFill>
                  <pic:spPr bwMode="auto">
                    <a:xfrm>
                      <a:off x="0" y="0"/>
                      <a:ext cx="4248150" cy="3808730"/>
                    </a:xfrm>
                    <a:prstGeom prst="rect">
                      <a:avLst/>
                    </a:prstGeom>
                    <a:noFill/>
                    <a:ln w="9525">
                      <a:noFill/>
                      <a:miter lim="800000"/>
                      <a:headEnd/>
                      <a:tailEnd/>
                    </a:ln>
                  </pic:spPr>
                </pic:pic>
              </a:graphicData>
            </a:graphic>
          </wp:anchor>
        </w:drawing>
      </w:r>
    </w:p>
    <w:p w:rsidR="00FC69A5" w:rsidRDefault="00FC69A5">
      <w:pPr>
        <w:spacing w:before="480" w:line="480" w:lineRule="auto"/>
        <w:ind w:left="0"/>
        <w:jc w:val="both"/>
        <w:rPr>
          <w:rFonts w:ascii="Arial Narrow" w:eastAsia="Arial Narrow" w:hAnsi="Arial Narrow"/>
          <w:sz w:val="24"/>
          <w:szCs w:val="24"/>
        </w:rPr>
      </w:pPr>
    </w:p>
    <w:p w:rsidR="00FC69A5" w:rsidRDefault="00FC69A5">
      <w:pPr>
        <w:spacing w:before="480" w:line="480" w:lineRule="auto"/>
        <w:ind w:left="0"/>
        <w:jc w:val="both"/>
        <w:rPr>
          <w:rFonts w:ascii="Arial Narrow" w:eastAsia="Arial Narrow" w:hAnsi="Arial Narrow"/>
          <w:sz w:val="24"/>
          <w:szCs w:val="24"/>
        </w:rPr>
      </w:pPr>
    </w:p>
    <w:p w:rsidR="00FC69A5" w:rsidRDefault="00FC69A5">
      <w:pPr>
        <w:spacing w:before="480" w:line="480" w:lineRule="auto"/>
        <w:ind w:left="0"/>
        <w:jc w:val="both"/>
        <w:rPr>
          <w:rFonts w:ascii="Arial Narrow" w:eastAsia="Arial Narrow" w:hAnsi="Arial Narrow"/>
          <w:sz w:val="24"/>
          <w:szCs w:val="24"/>
        </w:rPr>
      </w:pPr>
    </w:p>
    <w:p w:rsidR="00FC69A5" w:rsidRDefault="00FC69A5">
      <w:pPr>
        <w:spacing w:before="480" w:line="480" w:lineRule="auto"/>
        <w:ind w:left="0"/>
        <w:jc w:val="both"/>
        <w:rPr>
          <w:rFonts w:ascii="Arial Narrow" w:eastAsia="Arial Narrow" w:hAnsi="Arial Narrow"/>
          <w:sz w:val="24"/>
          <w:szCs w:val="24"/>
        </w:rPr>
      </w:pPr>
    </w:p>
    <w:p w:rsidR="00FC69A5" w:rsidRDefault="00FC69A5">
      <w:pPr>
        <w:spacing w:before="480" w:line="480" w:lineRule="auto"/>
        <w:ind w:left="0"/>
        <w:jc w:val="both"/>
        <w:rPr>
          <w:rFonts w:ascii="Arial Narrow" w:eastAsia="Arial Narrow" w:hAnsi="Arial Narrow"/>
          <w:sz w:val="24"/>
          <w:szCs w:val="24"/>
        </w:rPr>
      </w:pPr>
    </w:p>
    <w:p w:rsidR="00556FC3" w:rsidRDefault="006D019F">
      <w:pPr>
        <w:spacing w:before="480" w:line="480" w:lineRule="auto"/>
        <w:ind w:left="0"/>
        <w:jc w:val="both"/>
        <w:rPr>
          <w:rFonts w:ascii="Arial Narrow" w:eastAsia="Arial Narrow" w:hAnsi="Arial Narrow"/>
          <w:color w:val="FF0000"/>
          <w:sz w:val="16"/>
          <w:szCs w:val="16"/>
        </w:rPr>
      </w:pPr>
      <w:r>
        <w:rPr>
          <w:rFonts w:ascii="Arial Narrow" w:eastAsia="Arial Narrow" w:hAnsi="Arial Narrow"/>
          <w:sz w:val="24"/>
          <w:szCs w:val="24"/>
        </w:rPr>
        <w:t xml:space="preserve">Estas agendas regionales de cultura se elaboraron en el 2011 y aun en el 2017 no hay muchos cambios significativos en lo referente a la problemática identificada por los pobladores, sino más bien una evidente agudización de </w:t>
      </w:r>
      <w:r w:rsidR="00F64132">
        <w:rPr>
          <w:rFonts w:ascii="Arial Narrow" w:eastAsia="Arial Narrow" w:hAnsi="Arial Narrow"/>
          <w:sz w:val="24"/>
          <w:szCs w:val="24"/>
        </w:rPr>
        <w:t xml:space="preserve">lo planteado </w:t>
      </w:r>
      <w:r>
        <w:rPr>
          <w:rFonts w:ascii="Arial Narrow" w:eastAsia="Arial Narrow" w:hAnsi="Arial Narrow"/>
          <w:sz w:val="24"/>
          <w:szCs w:val="24"/>
        </w:rPr>
        <w:t>hace cinco años, porque el actual gobierno no ve la cultura como un tema prioritario en su agenda, prueba de ello es la situación actual de las instituciones culturales del Estado, aunque estas nunca han proporcionado un apoyo contundente al sector, se les ha reducido su presupuesto y varias de ellas han perdido su estatus de  Secretaría.</w:t>
      </w:r>
      <w:r>
        <w:rPr>
          <w:rFonts w:ascii="Arial Narrow" w:eastAsia="Arial Narrow" w:hAnsi="Arial Narrow"/>
          <w:color w:val="FF0000"/>
          <w:sz w:val="16"/>
          <w:szCs w:val="16"/>
        </w:rPr>
        <w:t xml:space="preserve"> </w:t>
      </w:r>
    </w:p>
    <w:p w:rsidR="00556FC3" w:rsidRDefault="00470538">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 xml:space="preserve">Tomando en cuenta los resultados que arrojan las estrategias regionales de cultura </w:t>
      </w:r>
      <w:r w:rsidR="00E65389">
        <w:rPr>
          <w:rFonts w:ascii="Arial Narrow" w:eastAsia="Arial Narrow" w:hAnsi="Arial Narrow"/>
          <w:sz w:val="24"/>
          <w:szCs w:val="24"/>
        </w:rPr>
        <w:t xml:space="preserve">que presentan </w:t>
      </w:r>
      <w:r w:rsidR="006D019F">
        <w:rPr>
          <w:rFonts w:ascii="Arial Narrow" w:eastAsia="Arial Narrow" w:hAnsi="Arial Narrow"/>
          <w:sz w:val="24"/>
          <w:szCs w:val="24"/>
        </w:rPr>
        <w:t>como prin</w:t>
      </w:r>
      <w:r w:rsidR="005D4B1C">
        <w:rPr>
          <w:rFonts w:ascii="Arial Narrow" w:eastAsia="Arial Narrow" w:hAnsi="Arial Narrow"/>
          <w:sz w:val="24"/>
          <w:szCs w:val="24"/>
        </w:rPr>
        <w:t xml:space="preserve">cipal problemática </w:t>
      </w:r>
      <w:r w:rsidR="006D019F">
        <w:rPr>
          <w:rFonts w:ascii="Arial Narrow" w:eastAsia="Arial Narrow" w:hAnsi="Arial Narrow"/>
          <w:sz w:val="24"/>
          <w:szCs w:val="24"/>
        </w:rPr>
        <w:t>la desvalorización del patrimonio cultural local, esta investigación pretende proporcionar algunas alternativas, mediante la revisión de proyectos que se han desarrollado dentro y fuera del país, de los cuales se pueden retomar algunas ideas o realizarle algunas adaptaciones para beneficio del patrimonio cultural de Honduras.</w:t>
      </w:r>
    </w:p>
    <w:p w:rsidR="00556FC3" w:rsidRDefault="006D019F">
      <w:pPr>
        <w:spacing w:before="480" w:after="240" w:line="480" w:lineRule="auto"/>
        <w:ind w:left="0"/>
        <w:rPr>
          <w:rFonts w:ascii="Arial Narrow" w:eastAsia="Arial Narrow" w:hAnsi="Arial Narrow"/>
          <w:b/>
          <w:sz w:val="24"/>
          <w:szCs w:val="24"/>
        </w:rPr>
      </w:pPr>
      <w:r>
        <w:rPr>
          <w:rFonts w:ascii="Arial Narrow" w:eastAsia="Arial Narrow" w:hAnsi="Arial Narrow"/>
          <w:b/>
          <w:sz w:val="24"/>
          <w:szCs w:val="24"/>
        </w:rPr>
        <w:t>Capítulo I: El Patrimonio cultural y la gestión difusora</w:t>
      </w:r>
    </w:p>
    <w:p w:rsidR="00556FC3" w:rsidRDefault="006D019F">
      <w:p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t>El Patrimonio cultural de Honduras es entendido como el “conjunto de objetos, lugares y tradiciones que son la expresión de una cultura y que son importantes porque reflejan la forma en que una sociedad se organiza y se relaciona consigo misma y su entorno natural en un momento determinado” (Instituto Hondureño de Antropología e Historia (IHAH), 2008, pág. 11).</w:t>
      </w:r>
    </w:p>
    <w:p w:rsidR="00556FC3" w:rsidRDefault="006D019F">
      <w:p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t>Para un mayor aprovechamiento de los bienes culturales por parte de la población se requiere de una adecuada gestión del Patrimonio cultural, que según estudios (Abejón &amp; Maldonado, (s/f), párr. 22) es entendido como las acciones que permiten garantizar “el conocimiento, conservación y difusión de los bienes patrimoniales, lo que incluye ordenar y facilitar las intervenciones que en él se realicen. Consta de tres apartados: (gestión planificadora), control (gestión controladora) y difusión (gestión difusora)”.</w:t>
      </w:r>
    </w:p>
    <w:p w:rsidR="00556FC3" w:rsidRDefault="00736535">
      <w:p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t>En el caso de</w:t>
      </w:r>
      <w:r w:rsidR="006D019F">
        <w:rPr>
          <w:rFonts w:ascii="Arial Narrow" w:eastAsia="Arial Narrow" w:hAnsi="Arial Narrow"/>
          <w:sz w:val="24"/>
          <w:szCs w:val="24"/>
        </w:rPr>
        <w:t xml:space="preserve"> la gestión difusora, </w:t>
      </w:r>
      <w:r>
        <w:rPr>
          <w:rFonts w:ascii="Arial Narrow" w:eastAsia="Arial Narrow" w:hAnsi="Arial Narrow"/>
          <w:sz w:val="24"/>
          <w:szCs w:val="24"/>
        </w:rPr>
        <w:t xml:space="preserve">es importante tomar en cuenta </w:t>
      </w:r>
      <w:r w:rsidR="006D019F">
        <w:rPr>
          <w:rFonts w:ascii="Arial Narrow" w:eastAsia="Arial Narrow" w:hAnsi="Arial Narrow"/>
          <w:sz w:val="24"/>
          <w:szCs w:val="24"/>
        </w:rPr>
        <w:t xml:space="preserve">que esta no se fundamenta en una mera propaganda sino más bien en una sistematización en el proceso de caracterización, conservación y uso adecuado del patrimonio, para el mejor aprovechamiento del mismo por parte de la comunidad. Este último punto es vital porque “No puede considerarse un elemento como Patrimonio hasta que en realidad no es activado, es decir hasta que no recibe el tratamiento, tan necesario como específico, para que pueda ser difundido y comprendido por </w:t>
      </w:r>
      <w:r w:rsidR="006D019F">
        <w:rPr>
          <w:rFonts w:ascii="Arial Narrow" w:eastAsia="Arial Narrow" w:hAnsi="Arial Narrow"/>
          <w:sz w:val="24"/>
          <w:szCs w:val="24"/>
        </w:rPr>
        <w:lastRenderedPageBreak/>
        <w:t>toda la sociedad” (Cuenca, 2004, pág.43). En otras palabras mientras la población no pueda disfrutar sus bienes culturales, estos no se pueden considerar como patrimonio, ya que para eso se necesita darlo a conocer para valorarlo y cuidarlo.</w:t>
      </w:r>
    </w:p>
    <w:p w:rsidR="00556FC3" w:rsidRDefault="006D019F">
      <w:p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t>Para finalizar</w:t>
      </w:r>
      <w:r w:rsidR="007C42D5">
        <w:rPr>
          <w:rFonts w:ascii="Arial Narrow" w:eastAsia="Arial Narrow" w:hAnsi="Arial Narrow"/>
          <w:sz w:val="24"/>
          <w:szCs w:val="24"/>
        </w:rPr>
        <w:t>,</w:t>
      </w:r>
      <w:r>
        <w:rPr>
          <w:rFonts w:ascii="Arial Narrow" w:eastAsia="Arial Narrow" w:hAnsi="Arial Narrow"/>
          <w:sz w:val="24"/>
          <w:szCs w:val="24"/>
        </w:rPr>
        <w:t xml:space="preserve"> en nuestro país se maneja el discurso que tenemos mucha riqueza natural y cultural y que esto se debe aprovechar a través del turismo. Pero mientras no conozcamos que es lo que verdaderamente tenemos, en qué condiciones esta y qué medidas se deben de tomar, toda esa riqueza se verá afectada. Por eso las acciones se deben de comenzar desde los gobiernos locales (municipalidades), para que luego se convierta en política nacional.</w:t>
      </w:r>
    </w:p>
    <w:p w:rsidR="00556FC3" w:rsidRDefault="006D019F">
      <w:pPr>
        <w:spacing w:before="480" w:after="240" w:line="480" w:lineRule="auto"/>
        <w:ind w:left="0"/>
        <w:rPr>
          <w:rFonts w:ascii="Arial Narrow" w:eastAsia="Arial Narrow" w:hAnsi="Arial Narrow"/>
          <w:b/>
          <w:sz w:val="24"/>
          <w:szCs w:val="24"/>
        </w:rPr>
      </w:pPr>
      <w:r>
        <w:rPr>
          <w:rFonts w:ascii="Arial Narrow" w:eastAsia="Arial Narrow" w:hAnsi="Arial Narrow"/>
          <w:b/>
          <w:sz w:val="24"/>
          <w:szCs w:val="24"/>
        </w:rPr>
        <w:t>Capítulo II: Situación del patrimonio cultural en las municipalidades de Honduras</w:t>
      </w: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Actualmente existen 14 ciudades que poseen declaratoria de Monumento Nacional</w:t>
      </w:r>
      <w:r w:rsidR="000C247F">
        <w:rPr>
          <w:rFonts w:ascii="Arial Narrow" w:eastAsia="Arial Narrow" w:hAnsi="Arial Narrow"/>
          <w:sz w:val="24"/>
          <w:szCs w:val="24"/>
        </w:rPr>
        <w:t xml:space="preserve">: </w:t>
      </w:r>
      <w:r>
        <w:rPr>
          <w:rFonts w:ascii="Arial Narrow" w:eastAsia="Arial Narrow" w:hAnsi="Arial Narrow"/>
          <w:sz w:val="24"/>
          <w:szCs w:val="24"/>
        </w:rPr>
        <w:t>Comayagua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Decreto No. 61</w:t>
      </w:r>
      <w:r w:rsidR="000C247F">
        <w:rPr>
          <w:rFonts w:ascii="Arial Narrow" w:eastAsia="Arial Narrow" w:hAnsi="Arial Narrow"/>
          <w:sz w:val="24"/>
          <w:szCs w:val="24"/>
        </w:rPr>
        <w:t>)</w:t>
      </w:r>
      <w:r>
        <w:rPr>
          <w:rFonts w:ascii="Arial Narrow" w:eastAsia="Arial Narrow" w:hAnsi="Arial Narrow"/>
          <w:sz w:val="24"/>
          <w:szCs w:val="24"/>
        </w:rPr>
        <w:t>, Choluteca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 496)</w:t>
      </w:r>
      <w:r>
        <w:rPr>
          <w:rFonts w:ascii="Arial Narrow" w:eastAsia="Arial Narrow" w:hAnsi="Arial Narrow"/>
          <w:sz w:val="24"/>
          <w:szCs w:val="24"/>
        </w:rPr>
        <w:t>, San Antonio de Oriente</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 091</w:t>
      </w:r>
      <w:r w:rsidR="000C247F">
        <w:rPr>
          <w:rFonts w:ascii="Arial Narrow" w:eastAsia="Arial Narrow" w:hAnsi="Arial Narrow"/>
          <w:sz w:val="24"/>
          <w:szCs w:val="24"/>
        </w:rPr>
        <w:t>)</w:t>
      </w:r>
      <w:r>
        <w:rPr>
          <w:rFonts w:ascii="Arial Narrow" w:eastAsia="Arial Narrow" w:hAnsi="Arial Narrow"/>
          <w:sz w:val="24"/>
          <w:szCs w:val="24"/>
        </w:rPr>
        <w:t>, Santa Rosa de Copan</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 344</w:t>
      </w:r>
      <w:r w:rsidR="000C247F">
        <w:rPr>
          <w:rFonts w:ascii="Arial Narrow" w:eastAsia="Arial Narrow" w:hAnsi="Arial Narrow"/>
          <w:sz w:val="24"/>
          <w:szCs w:val="24"/>
        </w:rPr>
        <w:t>)</w:t>
      </w:r>
      <w:r>
        <w:rPr>
          <w:rFonts w:ascii="Arial Narrow" w:eastAsia="Arial Narrow" w:hAnsi="Arial Narrow"/>
          <w:sz w:val="24"/>
          <w:szCs w:val="24"/>
        </w:rPr>
        <w:t>, Yuscarán</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 156</w:t>
      </w:r>
      <w:r w:rsidR="000C247F">
        <w:rPr>
          <w:rFonts w:ascii="Arial Narrow" w:eastAsia="Arial Narrow" w:hAnsi="Arial Narrow"/>
          <w:sz w:val="24"/>
          <w:szCs w:val="24"/>
        </w:rPr>
        <w:t>)</w:t>
      </w:r>
      <w:r>
        <w:rPr>
          <w:rFonts w:ascii="Arial Narrow" w:eastAsia="Arial Narrow" w:hAnsi="Arial Narrow"/>
          <w:sz w:val="24"/>
          <w:szCs w:val="24"/>
        </w:rPr>
        <w:t>, Cedros</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No.397</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Trujillo</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No.049</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Tegucigalpa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Nº. 527</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Ojojona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No.155-96</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Gracias</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No.168</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Santa Lucia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Decreto No. 156-2003</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Amapala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 226-2009</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La Ceiba</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 101-2010</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Catacamas</w:t>
      </w:r>
      <w:r w:rsidR="000C247F">
        <w:rPr>
          <w:rFonts w:ascii="Arial Narrow" w:eastAsia="Arial Narrow" w:hAnsi="Arial Narrow"/>
          <w:sz w:val="24"/>
          <w:szCs w:val="24"/>
        </w:rPr>
        <w:t xml:space="preserve"> (</w:t>
      </w:r>
      <w:r w:rsidR="000C247F" w:rsidRPr="000C247F">
        <w:rPr>
          <w:rFonts w:ascii="Arial Narrow" w:eastAsia="Arial Narrow" w:hAnsi="Arial Narrow"/>
          <w:sz w:val="24"/>
          <w:szCs w:val="24"/>
        </w:rPr>
        <w:t>Acuerdo No.239-2010</w:t>
      </w:r>
      <w:r w:rsidR="000C247F">
        <w:rPr>
          <w:rFonts w:ascii="Arial Narrow" w:eastAsia="Arial Narrow" w:hAnsi="Arial Narrow"/>
          <w:sz w:val="24"/>
          <w:szCs w:val="24"/>
        </w:rPr>
        <w:t>).</w:t>
      </w:r>
      <w:r>
        <w:rPr>
          <w:rFonts w:ascii="Arial Narrow" w:eastAsia="Arial Narrow" w:hAnsi="Arial Narrow"/>
          <w:sz w:val="24"/>
          <w:szCs w:val="24"/>
        </w:rPr>
        <w:t xml:space="preserve"> Esta es una protección legal que emite el Congreso Nacional de Honduras para atender convenientemente la preservación del legado histórico que tienen estas zonas, sin alterar o lesionar su armonía urbana. </w:t>
      </w:r>
    </w:p>
    <w:p w:rsidR="00556FC3" w:rsidRDefault="006D019F" w:rsidP="007C0B71">
      <w:pPr>
        <w:spacing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La declaratoria de Monumento Nacional aplica para aquellas ciudades que poseen un Centro Histórico debidamente conservado. Estos son espacios que tienen perímetros delimitados que poseen cierta uniformidad estética y urbanística y que les permite ser lugares distintivos de la ciudad. </w:t>
      </w:r>
    </w:p>
    <w:p w:rsidR="00045821" w:rsidRDefault="00045821" w:rsidP="007C0B71">
      <w:pPr>
        <w:spacing w:line="480" w:lineRule="auto"/>
        <w:ind w:left="0"/>
        <w:jc w:val="both"/>
        <w:rPr>
          <w:rFonts w:ascii="Arial Narrow" w:eastAsia="Arial Narrow" w:hAnsi="Arial Narrow"/>
          <w:sz w:val="24"/>
          <w:szCs w:val="24"/>
        </w:rPr>
      </w:pP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En Honduras existe  la Asociación de Municipios de Honduras (AMHON), ellos cuentan con un Programa Nacional de Fortalecimiento de la Gestión Urbana de los Centros Históricos (PGU) (2012, pág. 3), el cual tiene como objetivo “mejorar la conservación, planificación, gestión urbana y el aprovechamiento de los Centros/Conjuntos Históricos de Honduras como recurso para el desarrollo y lucha contra la pobreza”.</w:t>
      </w: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Cada una de las municipalidades tiene como objetivo: “preservar el patrimonio histórico y las tradiciones cívico-culturales del municipio; fomentarlas y difundirlas por sí, o en colaboración con otras entidades públicas o privadas; y utilizar la planificación para alcanzar el desarrollo integral del municipio” (PGU, 2012, Pág. 12).</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Pero en la mayoría de los Centros Históricos de Honduras no se han implementado procesos de gestión y Control Urbano, causando transformaciones en el paisaje urbano y pérdidas irreparables de su patrimonio inmueble. “Esto ha repercutido negativamente en el desarrollo, evolución y aprovechamiento del Centro Histórico”. (PGU, 2012, Pág. 12).</w:t>
      </w:r>
    </w:p>
    <w:p w:rsidR="00556FC3" w:rsidRDefault="006D019F">
      <w:pPr>
        <w:spacing w:before="480" w:after="240" w:line="480" w:lineRule="auto"/>
        <w:ind w:left="0"/>
        <w:rPr>
          <w:rFonts w:ascii="Arial Narrow" w:eastAsia="Arial Narrow" w:hAnsi="Arial Narrow"/>
          <w:sz w:val="24"/>
          <w:szCs w:val="24"/>
        </w:rPr>
      </w:pPr>
      <w:r>
        <w:rPr>
          <w:rFonts w:ascii="Arial Narrow" w:eastAsia="Arial Narrow" w:hAnsi="Arial Narrow"/>
          <w:sz w:val="24"/>
          <w:szCs w:val="24"/>
        </w:rPr>
        <w:t>Para poder replicar toda la experiencia de estas ciudades, es importante tomar en cuenta no solo el inventario de los espacios y monumentos, si no también registrar  todo el patrimonio inmaterial que forma parte de cada uno de estos lugares y las acciones que toman sus pobladores para sacar provecho de estos bienes de una forma  adecuada y responsable.</w:t>
      </w:r>
    </w:p>
    <w:p w:rsidR="00556FC3" w:rsidRDefault="006D019F">
      <w:pPr>
        <w:spacing w:before="480" w:after="240" w:line="480" w:lineRule="auto"/>
        <w:ind w:left="0"/>
        <w:rPr>
          <w:rFonts w:ascii="Arial Narrow" w:eastAsia="Arial Narrow" w:hAnsi="Arial Narrow"/>
          <w:b/>
          <w:sz w:val="24"/>
          <w:szCs w:val="24"/>
        </w:rPr>
      </w:pPr>
      <w:r>
        <w:rPr>
          <w:rFonts w:ascii="Arial Narrow" w:eastAsia="Arial Narrow" w:hAnsi="Arial Narrow"/>
          <w:b/>
          <w:sz w:val="24"/>
          <w:szCs w:val="24"/>
        </w:rPr>
        <w:t>Capítulo III: Los inventarios del patrimonio cultural en Honduras</w:t>
      </w: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Ante la necesidad de registrar los principales bienes culturales del país el Instituto Hondureño de Antropología e Historia (IHAH) y la Agencia Española de Cooperación Internacional (AECID), desarrollaron en el 2012 un diagnóstico de la situación actual del Inventario Nacional de Inmuebles Patrimoniales.</w:t>
      </w: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En este</w:t>
      </w:r>
      <w:r w:rsidR="007711FD">
        <w:rPr>
          <w:rFonts w:ascii="Arial Narrow" w:eastAsia="Arial Narrow" w:hAnsi="Arial Narrow"/>
          <w:sz w:val="24"/>
          <w:szCs w:val="24"/>
        </w:rPr>
        <w:t xml:space="preserve"> </w:t>
      </w:r>
      <w:r w:rsidR="00283A6A" w:rsidRPr="007711FD">
        <w:rPr>
          <w:rFonts w:ascii="Arial Narrow" w:eastAsia="Arial Narrow" w:hAnsi="Arial Narrow"/>
          <w:sz w:val="24"/>
          <w:szCs w:val="24"/>
        </w:rPr>
        <w:t>diagnóstico</w:t>
      </w:r>
      <w:r w:rsidR="007711FD" w:rsidRPr="007711FD">
        <w:rPr>
          <w:rFonts w:ascii="Arial Narrow" w:eastAsia="Arial Narrow" w:hAnsi="Arial Narrow"/>
          <w:sz w:val="24"/>
          <w:szCs w:val="24"/>
        </w:rPr>
        <w:t xml:space="preserve"> </w:t>
      </w:r>
      <w:r>
        <w:rPr>
          <w:rFonts w:ascii="Arial Narrow" w:eastAsia="Arial Narrow" w:hAnsi="Arial Narrow"/>
          <w:sz w:val="24"/>
          <w:szCs w:val="24"/>
        </w:rPr>
        <w:t xml:space="preserve">se planteaba que los inventarios de inmuebles culturales, son instrumentos “diseñados para identificar y conocer todos aquellos bienes inmuebles legados por nuestros antepasados” (Martínez, 2012, pág. 2). </w:t>
      </w: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Según Martínez (2012, pág. 2) los inventarios proporcionan información valiosa de “localización y ordenación previa estableciendo clasificaciones de los bienes objeto de estudio facilitando, a su vez, la realización de cuantos catálogos y demás registros sobre patrimonio sean necesarios para su conocimiento y plena protección y difusión”.</w:t>
      </w:r>
    </w:p>
    <w:p w:rsidR="00556FC3" w:rsidRDefault="006D019F">
      <w:pPr>
        <w:spacing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De la misma forma el inventario puede considerarse a criterio de Martínez (2012, pág. 2): </w:t>
      </w:r>
    </w:p>
    <w:p w:rsidR="00556FC3" w:rsidRDefault="006D019F">
      <w:pPr>
        <w:spacing w:after="240" w:line="480" w:lineRule="auto"/>
        <w:ind w:left="708"/>
        <w:jc w:val="both"/>
        <w:rPr>
          <w:rFonts w:ascii="Arial Narrow" w:eastAsia="Arial Narrow" w:hAnsi="Arial Narrow"/>
          <w:sz w:val="24"/>
          <w:szCs w:val="24"/>
        </w:rPr>
      </w:pPr>
      <w:r>
        <w:rPr>
          <w:rFonts w:ascii="Arial Narrow" w:eastAsia="Arial Narrow" w:hAnsi="Arial Narrow"/>
          <w:sz w:val="24"/>
          <w:szCs w:val="24"/>
        </w:rPr>
        <w:t>como una herramienta para la gestión patrimonial sobre los bienes culturales, ya que a la hora de definir las funciones de esa gestión, se debe considerar la identificación, recuperación y agrupación de objetos y colecciones, así como la documentación de los bienes culturales: estudios, conservación, difusión, exposición pública e interpretación o explicación.</w:t>
      </w:r>
    </w:p>
    <w:p w:rsidR="00556FC3" w:rsidRDefault="006D019F">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Una de las conclusiones importantes dentro de este estudio, es que 181 municipios no cuentan con su respectivo inventario, eso representa el 60.73% del total de municipios de Honduras, por lo cual recomiendan “realizar pre inventarios en estos municipios con el fin de conocer si (…) existe patrimonio edificado y cuantificar la cantidad de inmuebles que restan por inventariar a nivel nacional” (Martínez, 2012, pág. 3).</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Con respecto al patrimonio inmaterial, durante el 2001 el Instituto Hondureño de Antropología e Historia, coordinó la elaboración del Primer Censo Cultural, identificando “más de tres mil (3,000) bienes culturales en los </w:t>
      </w:r>
      <w:r w:rsidR="00DF1C5E" w:rsidRPr="00DF1C5E">
        <w:rPr>
          <w:rFonts w:ascii="Arial Narrow" w:eastAsia="Arial Narrow" w:hAnsi="Arial Narrow"/>
          <w:sz w:val="24"/>
          <w:szCs w:val="24"/>
        </w:rPr>
        <w:t xml:space="preserve">dieciocho </w:t>
      </w:r>
      <w:r w:rsidRPr="00DF1C5E">
        <w:rPr>
          <w:rFonts w:ascii="Arial Narrow" w:eastAsia="Arial Narrow" w:hAnsi="Arial Narrow"/>
          <w:sz w:val="24"/>
          <w:szCs w:val="24"/>
        </w:rPr>
        <w:t>(</w:t>
      </w:r>
      <w:r>
        <w:rPr>
          <w:rFonts w:ascii="Arial Narrow" w:eastAsia="Arial Narrow" w:hAnsi="Arial Narrow"/>
          <w:sz w:val="24"/>
          <w:szCs w:val="24"/>
        </w:rPr>
        <w:t>18) departamentos del país, alrededor de 400 manifestaciones culturales indígenas y garífunas, 900 manifestaciones vernáculas y 196 manifestaciones culturales contemporáneas” (Mejía, 2004, pág. 12).</w:t>
      </w:r>
    </w:p>
    <w:p w:rsidR="00556FC3" w:rsidRDefault="006D019F">
      <w:p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 xml:space="preserve">Otro importante registro de información del patrimonio inmaterial, se desarrolló en el 2004: Honduras y el universo de su patrimonio intangible, auspiciado por la Comisión Hondureña de Cooperación con la UNESCO. En este material que se publicó en versión digital (Disco Compacto), existe una investigación de los 18 departamentos de Honduras, donde se recopiló información sobre fiestas, tradiciones, bailes, comidas y toda la gama de elementos que componen el patrimonio inmaterial. </w:t>
      </w:r>
    </w:p>
    <w:p w:rsidR="00556FC3" w:rsidRDefault="006D40FD">
      <w:p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A pesar que estos fueron esfuerzos significativos, no se dio una suficiente difusión a la población en general</w:t>
      </w:r>
      <w:r w:rsidR="001D70BA">
        <w:rPr>
          <w:rFonts w:ascii="Arial Narrow" w:eastAsia="Arial Narrow" w:hAnsi="Arial Narrow"/>
          <w:sz w:val="24"/>
          <w:szCs w:val="24"/>
        </w:rPr>
        <w:t xml:space="preserve">, tanto así que la </w:t>
      </w:r>
      <w:r w:rsidR="006D019F">
        <w:rPr>
          <w:rFonts w:ascii="Arial Narrow" w:eastAsia="Arial Narrow" w:hAnsi="Arial Narrow"/>
          <w:sz w:val="24"/>
          <w:szCs w:val="24"/>
        </w:rPr>
        <w:t>UNESCO no cuenta con ningún registro, inventario o catálogo oficial, del patrimonio cultural inmaterial de Honduras. Lo que motivó que este organismo de la ONU, impartiera 4 talleres para la efectiva implementación de la Convención para la Salvaguardia del Patrimonio Cultural Inmaterial, en Honduras, El Salvador y Nicaragua, en el 2013.</w:t>
      </w:r>
    </w:p>
    <w:p w:rsidR="00556FC3" w:rsidRDefault="006D019F">
      <w:pPr>
        <w:spacing w:line="480" w:lineRule="auto"/>
        <w:ind w:left="0"/>
        <w:jc w:val="both"/>
        <w:rPr>
          <w:rFonts w:ascii="Arial Narrow" w:eastAsia="Arial Narrow" w:hAnsi="Arial Narrow"/>
          <w:sz w:val="24"/>
          <w:szCs w:val="24"/>
        </w:rPr>
      </w:pPr>
      <w:r>
        <w:rPr>
          <w:rFonts w:ascii="Arial Narrow" w:eastAsia="Arial Narrow" w:hAnsi="Arial Narrow"/>
          <w:sz w:val="24"/>
          <w:szCs w:val="24"/>
        </w:rPr>
        <w:t>Honduras al ser signatario de esta  Convención, tiene la responsabilidad de cumplir lo que establece en el inciso III: Salvaguardia del Patrimonio Cultural Inmaterial en el plano nacional, articulo 12 inventarios (UNESCO, 2012, pág. 9): “Para asegurar la identificación con fines de salvaguardia, cada Estado Parte confeccionará con arreglo a su propia situación uno o varios inventarios del patrimonio cultural inmaterial presente en su territorio. Dichos inventarios se actualizaran regularmente”.</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Sin embargo hasta la fecha, no ha existido interés por parte de las autoridades de comenzar con este proceso de inventario. Y lo preocupante es que el patrimonio inmaterial por ser un elemento que está en la memoria colectiva, es más vulnerable su</w:t>
      </w:r>
      <w:r>
        <w:rPr>
          <w:rFonts w:ascii="Arial Narrow" w:eastAsia="Arial Narrow" w:hAnsi="Arial Narrow"/>
          <w:color w:val="FF0000"/>
          <w:sz w:val="24"/>
          <w:szCs w:val="24"/>
        </w:rPr>
        <w:t xml:space="preserve"> </w:t>
      </w:r>
      <w:r w:rsidRPr="00C63288">
        <w:rPr>
          <w:rFonts w:ascii="Arial Narrow" w:eastAsia="Arial Narrow" w:hAnsi="Arial Narrow"/>
          <w:sz w:val="24"/>
          <w:szCs w:val="24"/>
        </w:rPr>
        <w:t xml:space="preserve">extinción </w:t>
      </w:r>
      <w:r>
        <w:rPr>
          <w:rFonts w:ascii="Arial Narrow" w:eastAsia="Arial Narrow" w:hAnsi="Arial Narrow"/>
          <w:sz w:val="24"/>
          <w:szCs w:val="24"/>
        </w:rPr>
        <w:t>si no se preserva adecuadamente.</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Finalmente el registro de bienes culturales debe ser integral, lo que le da valor a los monumentos, edificios, parques, iglesias, es el simbolismo que representa para las personas </w:t>
      </w:r>
      <w:r>
        <w:rPr>
          <w:rFonts w:ascii="Arial Narrow" w:eastAsia="Arial Narrow" w:hAnsi="Arial Narrow"/>
          <w:sz w:val="24"/>
          <w:szCs w:val="24"/>
        </w:rPr>
        <w:lastRenderedPageBreak/>
        <w:t>estos espacios, como escenario de sus fiestas, tradiciones, y estas expresiones a su vez no pueden tener significancia sin su naturaleza material y tangible. Es decir que ambas tipologías culturales dependen la una de la otra para su preservación.</w:t>
      </w:r>
    </w:p>
    <w:p w:rsidR="00556FC3" w:rsidRDefault="006D019F">
      <w:pPr>
        <w:spacing w:before="480" w:line="480" w:lineRule="auto"/>
        <w:ind w:left="0"/>
        <w:jc w:val="both"/>
        <w:rPr>
          <w:rFonts w:ascii="Arial Narrow" w:eastAsia="Arial Narrow" w:hAnsi="Arial Narrow"/>
          <w:b/>
          <w:sz w:val="24"/>
          <w:szCs w:val="24"/>
        </w:rPr>
      </w:pPr>
      <w:r>
        <w:rPr>
          <w:rFonts w:ascii="Arial Narrow" w:eastAsia="Arial Narrow" w:hAnsi="Arial Narrow"/>
          <w:b/>
          <w:sz w:val="24"/>
          <w:szCs w:val="24"/>
        </w:rPr>
        <w:t xml:space="preserve">Capítulo IV: Ejemplos de gestión difusora </w:t>
      </w:r>
    </w:p>
    <w:p w:rsidR="00556FC3" w:rsidRDefault="006D019F">
      <w:p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t>El trabajo para la conservación del patrimonio cultural debe ser permanente y participativo, por ello se han revisado los proyectos internacionales que se han implementado, que no necesariamente han estado orientados a la gestión difusora, pero sus resultados han sido muy positivos y de los cuales se puede sacar mucho  provecho, como es el caso de los dibujos animados de “El Oso Yogui” y “El coyote y el correcaminos”.</w:t>
      </w:r>
    </w:p>
    <w:p w:rsidR="00556FC3" w:rsidRDefault="006D019F">
      <w:pPr>
        <w:spacing w:line="480" w:lineRule="auto"/>
        <w:ind w:left="0"/>
        <w:jc w:val="both"/>
        <w:rPr>
          <w:rFonts w:ascii="Arial Narrow" w:eastAsia="Arial Narrow" w:hAnsi="Arial Narrow"/>
          <w:color w:val="FF0000"/>
          <w:sz w:val="24"/>
          <w:szCs w:val="24"/>
        </w:rPr>
      </w:pPr>
      <w:r>
        <w:rPr>
          <w:rFonts w:ascii="Arial Narrow" w:eastAsia="Arial Narrow" w:hAnsi="Arial Narrow"/>
          <w:sz w:val="24"/>
          <w:szCs w:val="24"/>
        </w:rPr>
        <w:t xml:space="preserve">1.- El primero creado en la segunda mitad del siglo XX, resalta un paraje único en el planeta y que es el primer Parque Nacional en el mundo, declarado en 1871, ubicado en Estados Unidos, es llamado el Parque Nacional de </w:t>
      </w:r>
      <w:r w:rsidRPr="00C63288">
        <w:rPr>
          <w:rFonts w:ascii="Arial Narrow" w:eastAsia="Arial Narrow" w:hAnsi="Arial Narrow"/>
          <w:sz w:val="24"/>
          <w:szCs w:val="24"/>
        </w:rPr>
        <w:t>Yellowstone</w:t>
      </w:r>
    </w:p>
    <w:p w:rsidR="00FC69A5" w:rsidRDefault="00FC69A5">
      <w:pPr>
        <w:spacing w:line="480" w:lineRule="auto"/>
        <w:ind w:left="0"/>
        <w:jc w:val="center"/>
        <w:rPr>
          <w:rFonts w:ascii="Arial Narrow" w:eastAsia="Arial Narrow" w:hAnsi="Arial Narrow"/>
          <w:sz w:val="24"/>
          <w:szCs w:val="24"/>
        </w:rPr>
      </w:pPr>
    </w:p>
    <w:p w:rsidR="00556FC3" w:rsidRDefault="006D019F">
      <w:pPr>
        <w:spacing w:line="480" w:lineRule="auto"/>
        <w:ind w:left="0"/>
        <w:jc w:val="center"/>
        <w:rPr>
          <w:rFonts w:ascii="Arial Narrow" w:eastAsia="Arial Narrow" w:hAnsi="Arial Narrow"/>
          <w:color w:val="FF0000"/>
          <w:sz w:val="24"/>
          <w:szCs w:val="24"/>
        </w:rPr>
      </w:pPr>
      <w:r>
        <w:rPr>
          <w:rFonts w:ascii="Arial Narrow" w:eastAsia="Arial Narrow" w:hAnsi="Arial Narrow"/>
          <w:sz w:val="24"/>
          <w:szCs w:val="24"/>
        </w:rPr>
        <w:t xml:space="preserve">Imagen N°1: El Oso yogui en el parque de </w:t>
      </w:r>
      <w:r w:rsidRPr="00C63288">
        <w:rPr>
          <w:rFonts w:ascii="Arial Narrow" w:eastAsia="Arial Narrow" w:hAnsi="Arial Narrow"/>
          <w:sz w:val="24"/>
          <w:szCs w:val="24"/>
        </w:rPr>
        <w:t>Jellystone</w:t>
      </w:r>
      <w:r w:rsidRPr="00C63288">
        <w:rPr>
          <w:rStyle w:val="Refdenotaalpie"/>
          <w:rFonts w:ascii="Arial Narrow" w:eastAsia="Arial Narrow" w:hAnsi="Arial Narrow"/>
          <w:sz w:val="24"/>
          <w:szCs w:val="24"/>
        </w:rPr>
        <w:footnoteReference w:id="3"/>
      </w:r>
    </w:p>
    <w:p w:rsidR="00556FC3" w:rsidRDefault="006D019F">
      <w:pPr>
        <w:spacing w:before="480" w:line="480" w:lineRule="auto"/>
        <w:ind w:left="0"/>
        <w:jc w:val="both"/>
        <w:rPr>
          <w:rFonts w:ascii="Arial Narrow" w:eastAsia="Arial Narrow" w:hAnsi="Arial Narrow"/>
          <w:sz w:val="24"/>
          <w:szCs w:val="24"/>
        </w:rPr>
      </w:pPr>
      <w:r>
        <w:rPr>
          <w:noProof/>
        </w:rPr>
        <w:drawing>
          <wp:anchor distT="0" distB="0" distL="114300" distR="114300" simplePos="0" relativeHeight="251624960" behindDoc="0" locked="0" layoutInCell="1" allowOverlap="1">
            <wp:simplePos x="0" y="0"/>
            <wp:positionH relativeFrom="column">
              <wp:posOffset>1078235</wp:posOffset>
            </wp:positionH>
            <wp:positionV relativeFrom="paragraph">
              <wp:posOffset>41279</wp:posOffset>
            </wp:positionV>
            <wp:extent cx="3302000" cy="2371725"/>
            <wp:effectExtent l="19050" t="0" r="0" b="0"/>
            <wp:wrapSquare wrapText="bothSides"/>
            <wp:docPr id="19" name="Imagen 1" descr="C:\Documents and Settings\Administrador\Escritorio\Oso yog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_temp/image2.jpeg"/>
                    <pic:cNvPicPr>
                      <a:picLocks noChangeAspect="1" noChangeArrowheads="1"/>
                    </pic:cNvPicPr>
                  </pic:nvPicPr>
                  <pic:blipFill>
                    <a:blip r:embed="rId10" cstate="print"/>
                    <a:srcRect/>
                    <a:stretch>
                      <a:fillRect/>
                    </a:stretch>
                  </pic:blipFill>
                  <pic:spPr>
                    <a:xfrm>
                      <a:off x="0" y="0"/>
                      <a:ext cx="3302635" cy="2372360"/>
                    </a:xfrm>
                    <a:prstGeom prst="rect">
                      <a:avLst/>
                    </a:prstGeom>
                    <a:noFill/>
                    <a:ln w="9525" cap="flat">
                      <a:noFill/>
                    </a:ln>
                  </pic:spPr>
                </pic:pic>
              </a:graphicData>
            </a:graphic>
          </wp:anchor>
        </w:drawing>
      </w:r>
    </w:p>
    <w:p w:rsidR="00556FC3" w:rsidRDefault="00556FC3">
      <w:pPr>
        <w:spacing w:before="480" w:line="480" w:lineRule="auto"/>
        <w:ind w:left="0"/>
        <w:jc w:val="both"/>
        <w:rPr>
          <w:rFonts w:ascii="Arial Narrow" w:eastAsia="Arial Narrow" w:hAnsi="Arial Narrow"/>
          <w:sz w:val="24"/>
          <w:szCs w:val="24"/>
        </w:rPr>
      </w:pPr>
    </w:p>
    <w:p w:rsidR="00556FC3" w:rsidRDefault="00556FC3">
      <w:pPr>
        <w:spacing w:before="480" w:line="480" w:lineRule="auto"/>
        <w:ind w:left="0"/>
        <w:jc w:val="both"/>
        <w:rPr>
          <w:rFonts w:ascii="Arial Narrow" w:eastAsia="Arial Narrow" w:hAnsi="Arial Narrow"/>
          <w:sz w:val="24"/>
          <w:szCs w:val="24"/>
        </w:rPr>
      </w:pPr>
    </w:p>
    <w:p w:rsidR="00556FC3" w:rsidRDefault="00556FC3">
      <w:pPr>
        <w:spacing w:before="480" w:line="480" w:lineRule="auto"/>
        <w:ind w:left="0"/>
        <w:jc w:val="both"/>
        <w:rPr>
          <w:rFonts w:ascii="Arial Narrow" w:eastAsia="Arial Narrow" w:hAnsi="Arial Narrow"/>
          <w:sz w:val="24"/>
          <w:szCs w:val="24"/>
        </w:rPr>
      </w:pPr>
    </w:p>
    <w:p w:rsidR="00556FC3" w:rsidRDefault="00556FC3">
      <w:pPr>
        <w:spacing w:line="480" w:lineRule="auto"/>
        <w:ind w:left="0"/>
        <w:jc w:val="both"/>
        <w:rPr>
          <w:rFonts w:ascii="Arial Narrow" w:eastAsia="Arial Narrow" w:hAnsi="Arial Narrow"/>
          <w:sz w:val="24"/>
          <w:szCs w:val="24"/>
        </w:rPr>
      </w:pPr>
    </w:p>
    <w:p w:rsidR="00556FC3" w:rsidRDefault="006D019F">
      <w:pPr>
        <w:spacing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Estas caricaturas nos muestran uno de los parques con los fenomenos naturales mas hermosos y que por muchas generaciones</w:t>
      </w:r>
      <w:r w:rsidR="00C63288">
        <w:rPr>
          <w:rFonts w:ascii="Arial Narrow" w:eastAsia="Arial Narrow" w:hAnsi="Arial Narrow"/>
          <w:sz w:val="24"/>
          <w:szCs w:val="24"/>
        </w:rPr>
        <w:t xml:space="preserve"> </w:t>
      </w:r>
      <w:r>
        <w:rPr>
          <w:rFonts w:ascii="Arial Narrow" w:eastAsia="Arial Narrow" w:hAnsi="Arial Narrow"/>
          <w:sz w:val="24"/>
          <w:szCs w:val="24"/>
        </w:rPr>
        <w:t>nos incitaban a conocer el Jellystone</w:t>
      </w:r>
      <w:r w:rsidR="00C63288">
        <w:rPr>
          <w:rFonts w:ascii="Arial Narrow" w:eastAsia="Arial Narrow" w:hAnsi="Arial Narrow"/>
          <w:sz w:val="24"/>
          <w:szCs w:val="24"/>
        </w:rPr>
        <w:t xml:space="preserve"> </w:t>
      </w:r>
      <w:r>
        <w:rPr>
          <w:rStyle w:val="Refdenotaalpie"/>
          <w:rFonts w:ascii="Arial Narrow" w:eastAsia="Arial Narrow" w:hAnsi="Arial Narrow"/>
          <w:sz w:val="24"/>
          <w:szCs w:val="24"/>
        </w:rPr>
        <w:footnoteReference w:id="4"/>
      </w:r>
      <w:r w:rsidR="00C63288">
        <w:rPr>
          <w:rFonts w:ascii="Arial Narrow" w:eastAsia="Arial Narrow" w:hAnsi="Arial Narrow"/>
          <w:sz w:val="24"/>
          <w:szCs w:val="24"/>
        </w:rPr>
        <w:t xml:space="preserve"> </w:t>
      </w:r>
      <w:r>
        <w:rPr>
          <w:rFonts w:ascii="Arial Narrow" w:eastAsia="Arial Narrow" w:hAnsi="Arial Narrow"/>
          <w:sz w:val="24"/>
          <w:szCs w:val="24"/>
        </w:rPr>
        <w:t>Park</w:t>
      </w:r>
      <w:r w:rsidR="00C63288">
        <w:rPr>
          <w:rFonts w:ascii="Arial Narrow" w:eastAsia="Arial Narrow" w:hAnsi="Arial Narrow"/>
          <w:sz w:val="24"/>
          <w:szCs w:val="24"/>
        </w:rPr>
        <w:t xml:space="preserve"> </w:t>
      </w:r>
      <w:r>
        <w:rPr>
          <w:rFonts w:ascii="Arial Narrow" w:eastAsia="Arial Narrow" w:hAnsi="Arial Narrow"/>
          <w:sz w:val="24"/>
          <w:szCs w:val="24"/>
        </w:rPr>
        <w:t>(Solano, 2005, pág. 40). Yogui y sus amigos nos enseñaban su habitat que es un ambiente con  geisers (que son cabidades de origen volcanico, de donde emana vapor, gases y agua caliente),</w:t>
      </w:r>
      <w:r w:rsidR="006D6153">
        <w:rPr>
          <w:rFonts w:ascii="Arial Narrow" w:eastAsia="Arial Narrow" w:hAnsi="Arial Narrow"/>
          <w:sz w:val="24"/>
          <w:szCs w:val="24"/>
        </w:rPr>
        <w:t xml:space="preserve"> </w:t>
      </w:r>
      <w:r>
        <w:rPr>
          <w:rFonts w:ascii="Arial Narrow" w:eastAsia="Arial Narrow" w:hAnsi="Arial Narrow"/>
          <w:sz w:val="24"/>
          <w:szCs w:val="24"/>
        </w:rPr>
        <w:t>las travesuras que realizaba con los visitantes y el guardabosque, y que este último hacia todo lo posible para mantener el cuidado y orden dentro del parque.</w:t>
      </w:r>
    </w:p>
    <w:p w:rsidR="00556FC3" w:rsidRDefault="00556FC3">
      <w:pPr>
        <w:spacing w:line="480" w:lineRule="auto"/>
        <w:ind w:left="0"/>
        <w:jc w:val="both"/>
        <w:rPr>
          <w:rFonts w:ascii="Arial Narrow" w:eastAsia="Arial Narrow" w:hAnsi="Arial Narrow"/>
          <w:sz w:val="24"/>
          <w:szCs w:val="24"/>
        </w:rPr>
      </w:pPr>
    </w:p>
    <w:p w:rsidR="00556FC3" w:rsidRDefault="006D019F">
      <w:pPr>
        <w:spacing w:line="480" w:lineRule="auto"/>
        <w:ind w:left="0"/>
        <w:jc w:val="both"/>
        <w:rPr>
          <w:rFonts w:ascii="Arial Narrow" w:eastAsia="Arial Narrow" w:hAnsi="Arial Narrow"/>
          <w:sz w:val="24"/>
          <w:szCs w:val="24"/>
        </w:rPr>
      </w:pPr>
      <w:r>
        <w:rPr>
          <w:rFonts w:ascii="Arial Narrow" w:eastAsia="Arial Narrow" w:hAnsi="Arial Narrow"/>
          <w:sz w:val="24"/>
          <w:szCs w:val="24"/>
        </w:rPr>
        <w:t>Estos dibujos contribuyeron a la difusión del parque y por</w:t>
      </w:r>
      <w:r w:rsidR="006D6153">
        <w:rPr>
          <w:rFonts w:ascii="Arial Narrow" w:eastAsia="Arial Narrow" w:hAnsi="Arial Narrow"/>
          <w:sz w:val="24"/>
          <w:szCs w:val="24"/>
        </w:rPr>
        <w:t xml:space="preserve"> su reconocida fama</w:t>
      </w:r>
      <w:r>
        <w:rPr>
          <w:rFonts w:ascii="Arial Narrow" w:eastAsia="Arial Narrow" w:hAnsi="Arial Narrow"/>
          <w:sz w:val="24"/>
          <w:szCs w:val="24"/>
        </w:rPr>
        <w:t xml:space="preserve"> utilizan la imagen del oso para guiar y educar a todas las personas que visitan masivamente Yellowstone.</w:t>
      </w:r>
    </w:p>
    <w:p w:rsidR="00556FC3" w:rsidRDefault="00556FC3">
      <w:pPr>
        <w:spacing w:line="480" w:lineRule="auto"/>
        <w:ind w:left="0"/>
        <w:jc w:val="both"/>
        <w:rPr>
          <w:rFonts w:ascii="Arial Narrow" w:eastAsia="Arial Narrow" w:hAnsi="Arial Narrow"/>
          <w:sz w:val="24"/>
          <w:szCs w:val="24"/>
        </w:rPr>
      </w:pPr>
    </w:p>
    <w:p w:rsidR="00556FC3" w:rsidRDefault="006D019F">
      <w:pPr>
        <w:spacing w:line="480" w:lineRule="auto"/>
        <w:ind w:left="0"/>
        <w:jc w:val="both"/>
        <w:rPr>
          <w:rFonts w:ascii="Arial Narrow" w:eastAsia="Arial Narrow" w:hAnsi="Arial Narrow"/>
          <w:sz w:val="24"/>
          <w:szCs w:val="24"/>
        </w:rPr>
      </w:pPr>
      <w:r>
        <w:rPr>
          <w:rFonts w:ascii="Arial Narrow" w:eastAsia="Arial Narrow" w:hAnsi="Arial Narrow"/>
          <w:sz w:val="24"/>
          <w:szCs w:val="24"/>
        </w:rPr>
        <w:t>2.- La segunda caricatura fue creada en la primera mitad del siglo XX, su argumento se basaba en la persecución del coyote para comerse al correcaminos, en el Cañón del Colorado en Estados Unidos.</w:t>
      </w:r>
    </w:p>
    <w:p w:rsidR="00556FC3" w:rsidRDefault="006D019F">
      <w:pPr>
        <w:spacing w:line="480" w:lineRule="auto"/>
        <w:ind w:left="0"/>
        <w:jc w:val="center"/>
        <w:rPr>
          <w:rFonts w:ascii="Arial Narrow" w:eastAsia="Arial Narrow" w:hAnsi="Arial Narrow"/>
          <w:sz w:val="24"/>
          <w:szCs w:val="24"/>
        </w:rPr>
      </w:pPr>
      <w:r>
        <w:rPr>
          <w:rFonts w:ascii="Arial Narrow" w:eastAsia="Arial Narrow" w:hAnsi="Arial Narrow"/>
          <w:sz w:val="24"/>
          <w:szCs w:val="24"/>
        </w:rPr>
        <w:t>Imagen N°2: El Coyote y el correcaminos</w:t>
      </w:r>
      <w:r>
        <w:rPr>
          <w:rStyle w:val="Refdenotaalpie"/>
          <w:rFonts w:ascii="Arial Narrow" w:eastAsia="Arial Narrow" w:hAnsi="Arial Narrow"/>
          <w:sz w:val="24"/>
          <w:szCs w:val="24"/>
        </w:rPr>
        <w:footnoteReference w:id="5"/>
      </w:r>
    </w:p>
    <w:p w:rsidR="00556FC3" w:rsidRDefault="006D019F">
      <w:pPr>
        <w:spacing w:before="480" w:line="480" w:lineRule="auto"/>
        <w:ind w:left="0"/>
        <w:jc w:val="center"/>
        <w:rPr>
          <w:rFonts w:ascii="Arial Narrow" w:eastAsia="Arial Narrow" w:hAnsi="Arial Narrow"/>
          <w:sz w:val="24"/>
          <w:szCs w:val="24"/>
        </w:rPr>
      </w:pPr>
      <w:r>
        <w:rPr>
          <w:noProof/>
        </w:rPr>
        <w:drawing>
          <wp:anchor distT="0" distB="0" distL="114300" distR="114300" simplePos="0" relativeHeight="251624961" behindDoc="0" locked="0" layoutInCell="1" allowOverlap="1">
            <wp:simplePos x="0" y="0"/>
            <wp:positionH relativeFrom="column">
              <wp:posOffset>1209045</wp:posOffset>
            </wp:positionH>
            <wp:positionV relativeFrom="paragraph">
              <wp:posOffset>31754</wp:posOffset>
            </wp:positionV>
            <wp:extent cx="3157855" cy="1345565"/>
            <wp:effectExtent l="19050" t="0" r="4445" b="0"/>
            <wp:wrapSquare wrapText="bothSides"/>
            <wp:docPr id="22" name="Imagen 2" descr="C:\Documents and Settings\Administrador\Escritorio\correcaminos-coyote-7-94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rage/emulated/0/.polaris_temp/image3.jpeg"/>
                    <pic:cNvPicPr>
                      <a:picLocks noChangeAspect="1" noChangeArrowheads="1"/>
                    </pic:cNvPicPr>
                  </pic:nvPicPr>
                  <pic:blipFill>
                    <a:blip r:embed="rId11" cstate="print"/>
                    <a:srcRect/>
                    <a:stretch>
                      <a:fillRect/>
                    </a:stretch>
                  </pic:blipFill>
                  <pic:spPr>
                    <a:xfrm>
                      <a:off x="0" y="0"/>
                      <a:ext cx="3158490" cy="1346200"/>
                    </a:xfrm>
                    <a:prstGeom prst="rect">
                      <a:avLst/>
                    </a:prstGeom>
                    <a:noFill/>
                    <a:ln w="9525" cap="flat">
                      <a:noFill/>
                    </a:ln>
                  </pic:spPr>
                </pic:pic>
              </a:graphicData>
            </a:graphic>
          </wp:anchor>
        </w:drawing>
      </w:r>
    </w:p>
    <w:p w:rsidR="00556FC3" w:rsidRDefault="00556FC3">
      <w:pPr>
        <w:spacing w:before="480" w:line="276" w:lineRule="auto"/>
        <w:rPr>
          <w:rFonts w:ascii="Arial Narrow" w:eastAsia="Arial Narrow" w:hAnsi="Arial Narrow"/>
          <w:sz w:val="24"/>
          <w:szCs w:val="24"/>
        </w:rPr>
      </w:pPr>
    </w:p>
    <w:p w:rsidR="00556FC3" w:rsidRDefault="00556FC3">
      <w:pPr>
        <w:spacing w:before="480" w:line="276" w:lineRule="auto"/>
        <w:rPr>
          <w:rFonts w:ascii="Arial Narrow" w:eastAsia="Arial Narrow" w:hAnsi="Arial Narrow"/>
          <w:sz w:val="24"/>
          <w:szCs w:val="24"/>
        </w:rPr>
      </w:pP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Estos personajes nos mostraron la obra de la naturaleza que durante millones de años se fueron creando piedras, acantilados y cerros, con un tono “colorado” muy particular. Además según el argumento de Valvassori</w:t>
      </w:r>
      <w:r w:rsidR="00660F80">
        <w:rPr>
          <w:rFonts w:ascii="Arial Narrow" w:eastAsia="Arial Narrow" w:hAnsi="Arial Narrow"/>
          <w:sz w:val="24"/>
          <w:szCs w:val="24"/>
        </w:rPr>
        <w:t xml:space="preserve"> </w:t>
      </w:r>
      <w:r>
        <w:rPr>
          <w:rFonts w:ascii="Arial Narrow" w:eastAsia="Arial Narrow" w:hAnsi="Arial Narrow"/>
          <w:sz w:val="24"/>
          <w:szCs w:val="24"/>
        </w:rPr>
        <w:t>(2006, pág. 12),</w:t>
      </w:r>
      <w:r w:rsidR="000E2FE8">
        <w:rPr>
          <w:rFonts w:ascii="Arial Narrow" w:eastAsia="Arial Narrow" w:hAnsi="Arial Narrow"/>
          <w:sz w:val="24"/>
          <w:szCs w:val="24"/>
        </w:rPr>
        <w:t xml:space="preserve"> </w:t>
      </w:r>
      <w:r>
        <w:rPr>
          <w:rFonts w:ascii="Arial Narrow" w:eastAsia="Arial Narrow" w:hAnsi="Arial Narrow"/>
          <w:sz w:val="24"/>
          <w:szCs w:val="24"/>
        </w:rPr>
        <w:t xml:space="preserve">el coyote como personaje principal de estos dibujos  </w:t>
      </w:r>
      <w:r>
        <w:rPr>
          <w:rFonts w:ascii="Arial Narrow" w:eastAsia="Arial Narrow" w:hAnsi="Arial Narrow"/>
          <w:sz w:val="24"/>
          <w:szCs w:val="24"/>
        </w:rPr>
        <w:lastRenderedPageBreak/>
        <w:t>“comparte muchas características con el tío Coyote que fue protagonista de los cuentos orales de muchas poblaciones de todo el mundo”, incluyendo a Honduras.</w:t>
      </w:r>
    </w:p>
    <w:p w:rsidR="00BF3389" w:rsidRDefault="00BF3389">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Las estrategias que se han seleccionado en </w:t>
      </w:r>
      <w:r w:rsidR="003B0D0C">
        <w:rPr>
          <w:rFonts w:ascii="Arial Narrow" w:eastAsia="Arial Narrow" w:hAnsi="Arial Narrow"/>
          <w:sz w:val="24"/>
          <w:szCs w:val="24"/>
        </w:rPr>
        <w:t xml:space="preserve">el caso de </w:t>
      </w:r>
      <w:r>
        <w:rPr>
          <w:rFonts w:ascii="Arial Narrow" w:eastAsia="Arial Narrow" w:hAnsi="Arial Narrow"/>
          <w:sz w:val="24"/>
          <w:szCs w:val="24"/>
        </w:rPr>
        <w:t xml:space="preserve">Honduras </w:t>
      </w:r>
      <w:r w:rsidR="00E3531C">
        <w:rPr>
          <w:rFonts w:ascii="Arial Narrow" w:eastAsia="Arial Narrow" w:hAnsi="Arial Narrow"/>
          <w:sz w:val="24"/>
          <w:szCs w:val="24"/>
        </w:rPr>
        <w:t xml:space="preserve">solo son una muestra de todas las que </w:t>
      </w:r>
      <w:r w:rsidR="003B0D0C">
        <w:rPr>
          <w:rFonts w:ascii="Arial Narrow" w:eastAsia="Arial Narrow" w:hAnsi="Arial Narrow"/>
          <w:sz w:val="24"/>
          <w:szCs w:val="24"/>
        </w:rPr>
        <w:t>se han desarrollado, hay muchos más ejemplos que no se han tomado en cuenta y que han sido exitosos en el país, pero la intensión es seguir profundizando con más ejemplos en investigaciones posteriores.</w:t>
      </w:r>
    </w:p>
    <w:p w:rsidR="00556FC3" w:rsidRDefault="006D019F">
      <w:pPr>
        <w:spacing w:before="480" w:line="480" w:lineRule="auto"/>
        <w:ind w:left="0"/>
        <w:jc w:val="both"/>
        <w:rPr>
          <w:rFonts w:ascii="Arial Narrow" w:eastAsia="Arial Narrow" w:hAnsi="Arial Narrow"/>
          <w:color w:val="FF0000"/>
          <w:sz w:val="24"/>
          <w:szCs w:val="24"/>
        </w:rPr>
      </w:pPr>
      <w:r>
        <w:rPr>
          <w:rFonts w:ascii="Arial Narrow" w:eastAsia="Arial Narrow" w:hAnsi="Arial Narrow"/>
          <w:sz w:val="24"/>
          <w:szCs w:val="24"/>
        </w:rPr>
        <w:t xml:space="preserve">3.- Las aventuras de Patri y Monio: Fue un pasquín que publicó en 1997, el Instituto Hondureño de Antropología e Historia (IHAH). En el argumento aparece Patri: es un loro mágico que con ayuda de sus poderes, guía a unos niños en un viaje por proteger el patrimonio, y Monio: es amigo de patri y protector del bosque nublado (IHAH, 1997, pág. 1). </w:t>
      </w:r>
    </w:p>
    <w:p w:rsidR="00556FC3" w:rsidRDefault="006D019F">
      <w:pPr>
        <w:spacing w:before="480" w:line="480" w:lineRule="auto"/>
        <w:ind w:left="0"/>
        <w:jc w:val="center"/>
        <w:rPr>
          <w:rFonts w:ascii="Arial Narrow" w:eastAsia="Arial Narrow" w:hAnsi="Arial Narrow"/>
          <w:sz w:val="24"/>
          <w:szCs w:val="24"/>
        </w:rPr>
      </w:pPr>
      <w:r>
        <w:rPr>
          <w:rFonts w:ascii="Arial Narrow" w:eastAsia="Arial Narrow" w:hAnsi="Arial Narrow"/>
          <w:sz w:val="24"/>
          <w:szCs w:val="24"/>
        </w:rPr>
        <w:t>Imagen N°3: El pasquín de las aventuras de Patri y Monio</w:t>
      </w:r>
      <w:r>
        <w:rPr>
          <w:rStyle w:val="Refdenotaalpie"/>
          <w:rFonts w:ascii="Arial Narrow" w:eastAsia="Arial Narrow" w:hAnsi="Arial Narrow"/>
          <w:sz w:val="24"/>
          <w:szCs w:val="24"/>
        </w:rPr>
        <w:footnoteReference w:id="6"/>
      </w:r>
    </w:p>
    <w:p w:rsidR="00556FC3" w:rsidRDefault="006D019F">
      <w:pPr>
        <w:spacing w:before="480" w:line="480" w:lineRule="auto"/>
        <w:ind w:left="0"/>
        <w:jc w:val="both"/>
        <w:rPr>
          <w:rFonts w:ascii="Arial Narrow" w:eastAsia="Arial Narrow" w:hAnsi="Arial Narrow"/>
          <w:sz w:val="24"/>
          <w:szCs w:val="24"/>
        </w:rPr>
      </w:pPr>
      <w:r>
        <w:rPr>
          <w:noProof/>
        </w:rPr>
        <w:drawing>
          <wp:anchor distT="0" distB="0" distL="114300" distR="114300" simplePos="0" relativeHeight="251624962" behindDoc="0" locked="0" layoutInCell="1" allowOverlap="1">
            <wp:simplePos x="0" y="0"/>
            <wp:positionH relativeFrom="column">
              <wp:posOffset>1901190</wp:posOffset>
            </wp:positionH>
            <wp:positionV relativeFrom="paragraph">
              <wp:posOffset>31750</wp:posOffset>
            </wp:positionV>
            <wp:extent cx="1595120" cy="2085975"/>
            <wp:effectExtent l="19050" t="0" r="5080" b="0"/>
            <wp:wrapNone/>
            <wp:docPr id="23" name="Imagen 6" descr="C:\Documents and Settings\Administrador\Escritorio\pa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orage/emulated/0/.polaris_temp/image4.jpeg"/>
                    <pic:cNvPicPr>
                      <a:picLocks noChangeAspect="1" noChangeArrowheads="1"/>
                    </pic:cNvPicPr>
                  </pic:nvPicPr>
                  <pic:blipFill>
                    <a:blip r:embed="rId12" cstate="print"/>
                    <a:srcRect/>
                    <a:stretch>
                      <a:fillRect/>
                    </a:stretch>
                  </pic:blipFill>
                  <pic:spPr>
                    <a:xfrm>
                      <a:off x="0" y="0"/>
                      <a:ext cx="1595120" cy="2085975"/>
                    </a:xfrm>
                    <a:prstGeom prst="rect">
                      <a:avLst/>
                    </a:prstGeom>
                    <a:noFill/>
                    <a:ln w="9525" cap="flat">
                      <a:noFill/>
                    </a:ln>
                  </pic:spPr>
                </pic:pic>
              </a:graphicData>
            </a:graphic>
          </wp:anchor>
        </w:drawing>
      </w:r>
    </w:p>
    <w:p w:rsidR="00556FC3" w:rsidRDefault="00556FC3">
      <w:pPr>
        <w:spacing w:before="480" w:line="480" w:lineRule="auto"/>
        <w:ind w:left="0"/>
        <w:jc w:val="both"/>
        <w:rPr>
          <w:rFonts w:ascii="Arial Narrow" w:eastAsia="Arial Narrow" w:hAnsi="Arial Narrow"/>
          <w:sz w:val="24"/>
          <w:szCs w:val="24"/>
        </w:rPr>
      </w:pPr>
    </w:p>
    <w:p w:rsidR="00556FC3" w:rsidRDefault="00556FC3">
      <w:pPr>
        <w:spacing w:before="480" w:line="480" w:lineRule="auto"/>
        <w:ind w:left="0"/>
        <w:jc w:val="both"/>
        <w:rPr>
          <w:rFonts w:ascii="Arial Narrow" w:eastAsia="Arial Narrow" w:hAnsi="Arial Narrow"/>
          <w:sz w:val="24"/>
          <w:szCs w:val="24"/>
        </w:rPr>
      </w:pP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Esta publicación del IHAH consiste en una serie de personajes que representan a varias regiones del país, pero también algunos pueblos indígenas dentro del territorio hondureño, que junto con Patri y Monio recorren los principales sitios de Honduras que poseen tanto riqueza </w:t>
      </w:r>
      <w:r>
        <w:rPr>
          <w:rFonts w:ascii="Arial Narrow" w:eastAsia="Arial Narrow" w:hAnsi="Arial Narrow"/>
          <w:sz w:val="24"/>
          <w:szCs w:val="24"/>
        </w:rPr>
        <w:lastRenderedPageBreak/>
        <w:t xml:space="preserve">cultural como natural. En la historieta muestra la importancia que tienen estos lugares y la necesidad de conservarlos adecuadamente. </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Durante varios años se desarrollaron presentaciones a nivel nacional del pasquín en las escuelas y colegios, para sensibilizar a los niños y jóvenes de la importancia de conocer, disfrutar y proteger el patrimonio cultural de la nación. La historieta dejó de publicarse y en la actualidad no se han desarrollado nuevas ediciones. Sin embargo, la alcaldía de la ciudad de Comayagua en el 2009retomó el proyecto del pasquín y se denominaba, Comayagua Colonial, donde unos niños hacían un recorrido por los principales elementos patrimoniales de la ciudad. </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4.- Programa de</w:t>
      </w:r>
      <w:r w:rsidRPr="00C63288">
        <w:rPr>
          <w:rFonts w:ascii="Arial Narrow" w:eastAsia="Arial Narrow" w:hAnsi="Arial Narrow"/>
          <w:sz w:val="24"/>
          <w:szCs w:val="24"/>
        </w:rPr>
        <w:t xml:space="preserve"> Guardarrecursos</w:t>
      </w:r>
      <w:r>
        <w:rPr>
          <w:rFonts w:ascii="Arial Narrow" w:eastAsia="Arial Narrow" w:hAnsi="Arial Narrow"/>
          <w:sz w:val="24"/>
          <w:szCs w:val="24"/>
        </w:rPr>
        <w:t xml:space="preserve"> Culturales de Honduras: fue un programa que comenzó en el 2009, eran talleres orientados a los habitantes de las comunidades que poseen sitios arqueológicos, centros históricos, población indígena, o lugares donde el IHAH “ejecuta proyectos de conservación, restauración, investigación y protección del patrimonio cultural, lo que se busca es integrar esfuerzos entre la institución, las autoridades locales y la población en general como corresponsables de Salvaguardar el  Patrimonio cultural”.(Figueroa y cols, 2013, pág. 33)</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Como resultado  de este programa se capacitaron a 296 personas de 15 departamentos del país (Figueroa y cols, 2013, pág. 34) que adquirieron los conocimientos básicos sobre valoración, protección y conservación de su patrimonio cultural local. En la actualidad este programa ya no se esta desarrollando porque ya no cuenta con el financiamiento necesario. </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5.- Programa de Rescate y Promoción de la Producción Artesanal, Indígena y Tradicional, de Honduras (PROPAITH)(Cardona, 2017). Este programa que comenzó en 1995, dirigido por el IHAH, tenía como objetivo principal dar a conocer  y difundir el patrimonio artesanal de los </w:t>
      </w:r>
      <w:r>
        <w:rPr>
          <w:rFonts w:ascii="Arial Narrow" w:eastAsia="Arial Narrow" w:hAnsi="Arial Narrow"/>
          <w:sz w:val="24"/>
          <w:szCs w:val="24"/>
        </w:rPr>
        <w:lastRenderedPageBreak/>
        <w:t>grupos étnicos y mestizos del país y generar la venta de sus productos para mejorar sus condiciones de vida.</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El programa tuvo una cobertura nacional y se capacitó a muchas personas sobre todo en gran porcentaje eran  mujeres, pertenecientes a los distintos grupos indígenas del país, como </w:t>
      </w:r>
      <w:r>
        <w:rPr>
          <w:rFonts w:ascii="Arial Narrow" w:eastAsia="Arial Narrow" w:hAnsi="Arial Narrow"/>
          <w:color w:val="000000"/>
          <w:sz w:val="24"/>
          <w:szCs w:val="24"/>
        </w:rPr>
        <w:t>resultado de esta labor se elaboraron catálogos de todos los productos que elaboraban. En la actualidad el programa ya no es de cobertura nacional, quedo orientado a un sector de la población indígena y se denomina Proyecto Formación y Fortalecimiento de Grupos Artesanales de Tradición Lenca, financiado por la Junta de Andalucía. De este proyecto se han i</w:t>
      </w:r>
      <w:r>
        <w:rPr>
          <w:rFonts w:ascii="Arial Narrow" w:eastAsia="Arial Narrow" w:hAnsi="Arial Narrow"/>
          <w:sz w:val="24"/>
          <w:szCs w:val="24"/>
        </w:rPr>
        <w:t>mpreso material publicitario, como también catálogos, se han realizado exposiciones temporales e itinerantes, así como ferias donde se promueve todo el producto artesanal de las comunidades Lencas.</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6.- Banco Audiovisual de la Cultura Popular Hondureña</w:t>
      </w:r>
      <w:r w:rsidR="00CA1A6E">
        <w:rPr>
          <w:rFonts w:ascii="Arial Narrow" w:eastAsia="Arial Narrow" w:hAnsi="Arial Narrow"/>
          <w:sz w:val="24"/>
          <w:szCs w:val="24"/>
        </w:rPr>
        <w:t xml:space="preserve"> </w:t>
      </w:r>
      <w:r>
        <w:rPr>
          <w:rFonts w:ascii="Arial Narrow" w:eastAsia="Arial Narrow" w:hAnsi="Arial Narrow"/>
          <w:sz w:val="24"/>
          <w:szCs w:val="24"/>
        </w:rPr>
        <w:t>(Perez, 2010): en los primeros años del presente siglo, la Secretaria de Cultura, Artes y Deportes (ahora Dirección) realizó un registro en video y multimedia de distintos documentales.</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Estos audiovisuales estuvieron enfocados en la temática de festivales tradicionales, en danzas indígenas, rutas patrimoniales, documentales y de cultura popular en general. La importancia de todo este material radica en el registro de muchas manifestaciones tradicionales que están a punto de perderse, otras que se han transformado y lo más lamentable que algunas ya no se realizan. En la actualidad estos videos son transmitidos en los diferentes canales del gobierno en distintos horarios. </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7.- Álbum Coleccionable del Patrimonio Cultural de Honduras (Ramírez, 2014, págs. 2-8): Es una propuesta desarrollada por el autor de este artículo y es un proyecto en formato de álbum </w:t>
      </w:r>
      <w:r>
        <w:rPr>
          <w:rFonts w:ascii="Arial Narrow" w:eastAsia="Arial Narrow" w:hAnsi="Arial Narrow"/>
          <w:sz w:val="24"/>
          <w:szCs w:val="24"/>
        </w:rPr>
        <w:lastRenderedPageBreak/>
        <w:t>coleccionable, sobre el “Patrimonio Cultural de Honduras”. Para el cual se realizó una investigación y se escogieron 4 elementos patrimoniales por cada departamento del país. Los cuales se encuentran en dibujos en forma de láminas (vistas) coleccionables, que contienen la información de monumentos históricos, edificios patrimoniales, fiestas tradicionales, comidas típicas y toda la riqueza cultural de Honduras.</w:t>
      </w:r>
    </w:p>
    <w:p w:rsidR="00556FC3" w:rsidRDefault="006D019F">
      <w:pPr>
        <w:spacing w:before="240" w:line="360" w:lineRule="auto"/>
        <w:ind w:left="708"/>
        <w:jc w:val="center"/>
        <w:rPr>
          <w:rFonts w:ascii="Arial Narrow" w:eastAsia="Arial Narrow" w:hAnsi="Arial Narrow"/>
          <w:sz w:val="24"/>
          <w:szCs w:val="24"/>
        </w:rPr>
      </w:pPr>
      <w:r>
        <w:rPr>
          <w:rFonts w:ascii="Arial Narrow" w:eastAsia="Arial Narrow" w:hAnsi="Arial Narrow"/>
          <w:sz w:val="24"/>
          <w:szCs w:val="24"/>
        </w:rPr>
        <w:t>Imagen N°4: Portada del Álbum Coleccionable del Patrimonio Cultural de Honduras</w:t>
      </w:r>
      <w:r>
        <w:rPr>
          <w:rStyle w:val="Refdenotaalpie"/>
          <w:rFonts w:ascii="Arial Narrow" w:eastAsia="Arial Narrow" w:hAnsi="Arial Narrow"/>
          <w:sz w:val="24"/>
          <w:szCs w:val="24"/>
        </w:rPr>
        <w:footnoteReference w:id="7"/>
      </w:r>
    </w:p>
    <w:p w:rsidR="00556FC3" w:rsidRDefault="006D019F">
      <w:pPr>
        <w:spacing w:before="240" w:line="360" w:lineRule="auto"/>
        <w:ind w:left="708"/>
        <w:jc w:val="both"/>
        <w:rPr>
          <w:rFonts w:ascii="Times New Roman" w:hAnsi="Times New Roman"/>
          <w:sz w:val="24"/>
          <w:szCs w:val="24"/>
        </w:rPr>
      </w:pPr>
      <w:r>
        <w:rPr>
          <w:noProof/>
        </w:rPr>
        <w:drawing>
          <wp:anchor distT="0" distB="0" distL="114300" distR="114300" simplePos="0" relativeHeight="251624963" behindDoc="0" locked="0" layoutInCell="1" allowOverlap="1">
            <wp:simplePos x="0" y="0"/>
            <wp:positionH relativeFrom="column">
              <wp:posOffset>1967870</wp:posOffset>
            </wp:positionH>
            <wp:positionV relativeFrom="paragraph">
              <wp:posOffset>90809</wp:posOffset>
            </wp:positionV>
            <wp:extent cx="1828800" cy="2419350"/>
            <wp:effectExtent l="38100" t="19050" r="19050" b="1905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orage/emulated/0/.polaris_temp/image5.png"/>
                    <pic:cNvPicPr>
                      <a:picLocks noChangeAspect="1" noChangeArrowheads="1"/>
                    </pic:cNvPicPr>
                  </pic:nvPicPr>
                  <pic:blipFill>
                    <a:blip r:embed="rId13" cstate="print"/>
                    <a:srcRect l="18718" t="21630" r="50397" b="8806"/>
                    <a:stretch>
                      <a:fillRect/>
                    </a:stretch>
                  </pic:blipFill>
                  <pic:spPr>
                    <a:xfrm>
                      <a:off x="0" y="0"/>
                      <a:ext cx="1829435" cy="2419985"/>
                    </a:xfrm>
                    <a:prstGeom prst="rect">
                      <a:avLst/>
                    </a:prstGeom>
                    <a:noFill/>
                    <a:ln w="3175" cap="flat" cmpd="sng">
                      <a:solidFill>
                        <a:schemeClr val="tx1"/>
                      </a:solidFill>
                      <a:prstDash val="solid"/>
                      <a:miter lim="800000"/>
                      <a:tailEnd type="none" w="med" len="med"/>
                    </a:ln>
                  </pic:spPr>
                </pic:pic>
              </a:graphicData>
            </a:graphic>
          </wp:anchor>
        </w:drawing>
      </w:r>
    </w:p>
    <w:p w:rsidR="00556FC3" w:rsidRDefault="00556FC3">
      <w:pPr>
        <w:spacing w:before="240" w:line="360" w:lineRule="auto"/>
        <w:ind w:left="708"/>
        <w:jc w:val="both"/>
        <w:rPr>
          <w:rFonts w:ascii="Times New Roman" w:hAnsi="Times New Roman"/>
          <w:sz w:val="24"/>
          <w:szCs w:val="24"/>
        </w:rPr>
      </w:pPr>
    </w:p>
    <w:p w:rsidR="00556FC3" w:rsidRDefault="00556FC3">
      <w:pPr>
        <w:spacing w:before="240" w:line="360" w:lineRule="auto"/>
        <w:ind w:left="708"/>
        <w:jc w:val="both"/>
        <w:rPr>
          <w:rFonts w:ascii="Times New Roman" w:hAnsi="Times New Roman"/>
          <w:sz w:val="24"/>
          <w:szCs w:val="24"/>
        </w:rPr>
      </w:pPr>
    </w:p>
    <w:p w:rsidR="00556FC3" w:rsidRDefault="00556FC3">
      <w:pPr>
        <w:spacing w:before="240" w:line="360" w:lineRule="auto"/>
        <w:ind w:left="708"/>
        <w:jc w:val="both"/>
        <w:rPr>
          <w:rFonts w:ascii="Times New Roman" w:hAnsi="Times New Roman"/>
          <w:sz w:val="24"/>
          <w:szCs w:val="24"/>
        </w:rPr>
      </w:pPr>
    </w:p>
    <w:p w:rsidR="00556FC3" w:rsidRDefault="00556FC3">
      <w:pPr>
        <w:spacing w:before="240" w:line="360" w:lineRule="auto"/>
        <w:ind w:left="708"/>
        <w:jc w:val="both"/>
        <w:rPr>
          <w:rFonts w:ascii="Times New Roman" w:hAnsi="Times New Roman"/>
          <w:sz w:val="24"/>
          <w:szCs w:val="24"/>
        </w:rPr>
      </w:pPr>
    </w:p>
    <w:p w:rsidR="00556FC3" w:rsidRDefault="00556FC3">
      <w:pPr>
        <w:spacing w:before="240" w:line="360" w:lineRule="auto"/>
        <w:ind w:left="708"/>
        <w:jc w:val="both"/>
        <w:rPr>
          <w:rFonts w:ascii="Times New Roman" w:hAnsi="Times New Roman"/>
          <w:sz w:val="24"/>
          <w:szCs w:val="24"/>
        </w:rPr>
      </w:pP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Esta obra se encuentra registrada en la Oficina Administrativa del Derecho de Autor y de los Derechos Conexos, bajo el Número 1814, Tomo 10. Folio 1026, Resolución 1299/2014. Y tiene como objetivos, Implementar un método didáctico para la promoción y aprovechamiento del patrimonio cultural hondureño, a su vez, que el álbum pueda ser utilizado como una herramienta de registro que permita la conservación y protección del patrimonio cultural tanto material como inmaterial. Actualmente el proyecto no se ha ejecutado por falta de financiamiento.</w:t>
      </w:r>
    </w:p>
    <w:p w:rsidR="00556FC3" w:rsidRDefault="006D019F">
      <w:p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De todos los proyectos nacionales que se han mencionado, solo uno se mantiene en vigencia, los demás dejaron de realizarse por falta de financiamiento. Al analizar la relación costo-beneficio, veremos que es necesario retomar estas iniciativas por toda la incidencia que tuvo en </w:t>
      </w:r>
      <w:r>
        <w:rPr>
          <w:rFonts w:ascii="Arial Narrow" w:eastAsia="Arial Narrow" w:hAnsi="Arial Narrow"/>
          <w:sz w:val="24"/>
          <w:szCs w:val="24"/>
        </w:rPr>
        <w:lastRenderedPageBreak/>
        <w:t>la sensibilización de la comunidad en torno al patrimonio. Y debe ser un tema prioritario para el Estado ya que “el mayor potencial de un país es su gente y la mayor riqueza de la gente es su cultura”</w:t>
      </w:r>
      <w:r w:rsidR="00D10842">
        <w:rPr>
          <w:rFonts w:ascii="Arial Narrow" w:eastAsia="Arial Narrow" w:hAnsi="Arial Narrow"/>
          <w:sz w:val="24"/>
          <w:szCs w:val="24"/>
        </w:rPr>
        <w:t xml:space="preserve"> </w:t>
      </w:r>
      <w:r>
        <w:rPr>
          <w:rFonts w:ascii="Arial Narrow" w:eastAsia="Arial Narrow" w:hAnsi="Arial Narrow"/>
          <w:sz w:val="24"/>
          <w:szCs w:val="24"/>
        </w:rPr>
        <w:t>(Programa de las Naciones Unidas para el Desarrollo (PNUD), 2004, pág. 190).</w:t>
      </w:r>
    </w:p>
    <w:p w:rsidR="00556FC3" w:rsidRDefault="006D019F">
      <w:pPr>
        <w:spacing w:before="480" w:line="480" w:lineRule="auto"/>
        <w:ind w:left="0"/>
        <w:jc w:val="center"/>
        <w:rPr>
          <w:rFonts w:ascii="Arial Narrow" w:eastAsia="Arial Narrow" w:hAnsi="Arial Narrow"/>
          <w:b/>
          <w:sz w:val="24"/>
          <w:szCs w:val="24"/>
        </w:rPr>
      </w:pPr>
      <w:r>
        <w:rPr>
          <w:rFonts w:ascii="Arial Narrow" w:eastAsia="Arial Narrow" w:hAnsi="Arial Narrow"/>
          <w:b/>
          <w:sz w:val="24"/>
          <w:szCs w:val="24"/>
        </w:rPr>
        <w:t>Observaciones Finales</w:t>
      </w:r>
    </w:p>
    <w:p w:rsidR="00556FC3" w:rsidRDefault="00556FC3">
      <w:pPr>
        <w:pStyle w:val="Prrafodelista"/>
        <w:spacing w:line="360" w:lineRule="auto"/>
        <w:ind w:left="0"/>
        <w:contextualSpacing/>
        <w:jc w:val="both"/>
        <w:rPr>
          <w:rFonts w:ascii="Times New Roman" w:eastAsia="Times New Roman" w:hAnsi="Times New Roman"/>
          <w:sz w:val="24"/>
          <w:szCs w:val="24"/>
        </w:rPr>
      </w:pPr>
    </w:p>
    <w:p w:rsidR="00556FC3" w:rsidRDefault="006D019F">
      <w:pPr>
        <w:pStyle w:val="Prrafodelista"/>
        <w:numPr>
          <w:ilvl w:val="0"/>
          <w:numId w:val="2"/>
        </w:numPr>
        <w:spacing w:line="480" w:lineRule="auto"/>
        <w:ind w:left="0"/>
        <w:contextualSpacing/>
        <w:jc w:val="both"/>
        <w:rPr>
          <w:rFonts w:ascii="Arial Narrow" w:eastAsia="Arial Narrow" w:hAnsi="Arial Narrow"/>
          <w:sz w:val="24"/>
          <w:szCs w:val="24"/>
        </w:rPr>
      </w:pPr>
      <w:r>
        <w:rPr>
          <w:rFonts w:ascii="Arial Narrow" w:eastAsia="Times New Roman" w:hAnsi="Times New Roman"/>
          <w:color w:val="000000"/>
          <w:sz w:val="24"/>
          <w:szCs w:val="24"/>
        </w:rPr>
        <w:t>La gesti</w:t>
      </w:r>
      <w:r>
        <w:rPr>
          <w:rFonts w:ascii="Arial Narrow" w:eastAsia="Times New Roman" w:hAnsi="Times New Roman"/>
          <w:color w:val="000000"/>
          <w:sz w:val="24"/>
          <w:szCs w:val="24"/>
        </w:rPr>
        <w:t>ó</w:t>
      </w:r>
      <w:r>
        <w:rPr>
          <w:rFonts w:ascii="Arial Narrow" w:eastAsia="Times New Roman" w:hAnsi="Times New Roman"/>
          <w:color w:val="000000"/>
          <w:sz w:val="24"/>
          <w:szCs w:val="24"/>
        </w:rPr>
        <w:t>n difusora se puede convertir en una estrategia que permita volver provechoso</w:t>
      </w:r>
      <w:r w:rsidR="00D469DA">
        <w:rPr>
          <w:rFonts w:ascii="Arial Narrow" w:eastAsia="Times New Roman" w:hAnsi="Times New Roman"/>
          <w:color w:val="000000"/>
          <w:sz w:val="24"/>
          <w:szCs w:val="24"/>
        </w:rPr>
        <w:t xml:space="preserve"> </w:t>
      </w:r>
      <w:r>
        <w:rPr>
          <w:rFonts w:ascii="Arial Narrow" w:eastAsia="Times New Roman" w:hAnsi="Times New Roman"/>
          <w:color w:val="000000"/>
          <w:sz w:val="24"/>
          <w:szCs w:val="24"/>
        </w:rPr>
        <w:t xml:space="preserve">al Patrimonio desde </w:t>
      </w:r>
      <w:r>
        <w:rPr>
          <w:rFonts w:ascii="Arial Narrow" w:eastAsia="Arial Narrow" w:hAnsi="Arial Narrow"/>
          <w:sz w:val="24"/>
          <w:szCs w:val="24"/>
        </w:rPr>
        <w:t>la óptica de su función social, para lo cual es importante fortalecer el vínculo entre investigación y difusión, en la cual muestre a la población hondureña el legado cultural con el que cuentan, para su uso y disfrute.</w:t>
      </w:r>
    </w:p>
    <w:p w:rsidR="00556FC3" w:rsidRDefault="00556FC3">
      <w:pPr>
        <w:pStyle w:val="Prrafodelista"/>
        <w:spacing w:line="480" w:lineRule="auto"/>
        <w:ind w:left="0"/>
        <w:contextualSpacing/>
        <w:jc w:val="both"/>
        <w:rPr>
          <w:rFonts w:ascii="Arial Narrow" w:eastAsia="Arial Narrow" w:hAnsi="Arial Narrow"/>
          <w:sz w:val="24"/>
          <w:szCs w:val="24"/>
        </w:rPr>
      </w:pPr>
    </w:p>
    <w:p w:rsidR="00556FC3" w:rsidRDefault="006D019F">
      <w:pPr>
        <w:pStyle w:val="Prrafodelista"/>
        <w:numPr>
          <w:ilvl w:val="0"/>
          <w:numId w:val="2"/>
        </w:numPr>
        <w:spacing w:after="200" w:line="480" w:lineRule="auto"/>
        <w:ind w:left="0"/>
        <w:contextualSpacing/>
        <w:jc w:val="both"/>
        <w:rPr>
          <w:rFonts w:ascii="Arial Narrow" w:eastAsia="Arial Narrow" w:hAnsi="Arial Narrow"/>
          <w:sz w:val="24"/>
          <w:szCs w:val="24"/>
        </w:rPr>
      </w:pPr>
      <w:r>
        <w:rPr>
          <w:rFonts w:ascii="Arial Narrow" w:eastAsia="Arial Narrow" w:hAnsi="Arial Narrow"/>
          <w:sz w:val="24"/>
          <w:szCs w:val="24"/>
        </w:rPr>
        <w:t>Para que la población comience a valorar su herencia cultural, es más que necesario darla a conocer, mediante las estrategias más adecuadas, de lo contrario podría ser perjudicial para el mismo patrimonio, como en los casos de sitios arqueológicos poco estudiados, que ha servido para saqueos de piezas para luego venderlas, provocando destrucciones masivas de estos lugares.</w:t>
      </w:r>
    </w:p>
    <w:p w:rsidR="00556FC3" w:rsidRDefault="00556FC3">
      <w:pPr>
        <w:pStyle w:val="Prrafodelista"/>
        <w:spacing w:after="200" w:line="480" w:lineRule="auto"/>
        <w:ind w:left="0"/>
        <w:contextualSpacing/>
        <w:jc w:val="both"/>
        <w:rPr>
          <w:rFonts w:ascii="Arial Narrow" w:eastAsia="Arial Narrow" w:hAnsi="Arial Narrow"/>
          <w:sz w:val="24"/>
          <w:szCs w:val="24"/>
        </w:rPr>
      </w:pPr>
    </w:p>
    <w:p w:rsidR="00556FC3" w:rsidRDefault="006D019F">
      <w:pPr>
        <w:pStyle w:val="Prrafodelista"/>
        <w:numPr>
          <w:ilvl w:val="0"/>
          <w:numId w:val="2"/>
        </w:numPr>
        <w:spacing w:after="200" w:line="480" w:lineRule="auto"/>
        <w:ind w:left="0"/>
        <w:contextualSpacing/>
        <w:jc w:val="both"/>
        <w:rPr>
          <w:rFonts w:ascii="Arial Narrow" w:eastAsia="Arial Narrow" w:hAnsi="Arial Narrow"/>
          <w:sz w:val="24"/>
          <w:szCs w:val="24"/>
        </w:rPr>
      </w:pPr>
      <w:r>
        <w:rPr>
          <w:rFonts w:ascii="Arial Narrow" w:eastAsia="Arial Narrow" w:hAnsi="Arial Narrow"/>
          <w:sz w:val="24"/>
          <w:szCs w:val="24"/>
        </w:rPr>
        <w:t xml:space="preserve">La gestión difusora no se basa en una mera publicidad ni propaganda, trata de sistematizar los procesos en la intervención del patrimonio cultural, de tal manera que esta permita sensibilizar a las comunidades depositarias de estos bienes culturales, en la necesidad de conocerlos, valorarlos y preservarlos y hacerlo de manera sostenible, para que garantice el disfrute de esta herencia a las generaciones futuras. </w:t>
      </w:r>
    </w:p>
    <w:p w:rsidR="00556FC3" w:rsidRDefault="00556FC3">
      <w:pPr>
        <w:pStyle w:val="Prrafodelista"/>
        <w:spacing w:after="200" w:line="276" w:lineRule="auto"/>
        <w:contextualSpacing/>
        <w:rPr>
          <w:rFonts w:ascii="Arial Narrow" w:eastAsia="Arial Narrow" w:hAnsi="Arial Narrow"/>
          <w:sz w:val="24"/>
          <w:szCs w:val="24"/>
        </w:rPr>
      </w:pPr>
    </w:p>
    <w:p w:rsidR="00556FC3" w:rsidRDefault="006D019F">
      <w:pPr>
        <w:pStyle w:val="Prrafodelista"/>
        <w:numPr>
          <w:ilvl w:val="0"/>
          <w:numId w:val="2"/>
        </w:numPr>
        <w:spacing w:after="200" w:line="480" w:lineRule="auto"/>
        <w:ind w:left="0"/>
        <w:contextualSpacing/>
        <w:jc w:val="both"/>
        <w:rPr>
          <w:rFonts w:ascii="Arial Narrow" w:eastAsia="Arial Narrow" w:hAnsi="Arial Narrow"/>
          <w:sz w:val="24"/>
          <w:szCs w:val="24"/>
        </w:rPr>
      </w:pPr>
      <w:r>
        <w:rPr>
          <w:rFonts w:ascii="Arial Narrow" w:eastAsia="Arial Narrow" w:hAnsi="Arial Narrow"/>
          <w:sz w:val="24"/>
          <w:szCs w:val="24"/>
        </w:rPr>
        <w:t xml:space="preserve">Con un adecuado tratamiento del patrimonio cultural, este puede generar muchas ventajas para las comunidades, desde el punto de vista económico como social. Desde lo económico, es un elemento que otorga a las poblaciones distinción y esto lo hace atractivo a los ojos de los turistas </w:t>
      </w:r>
      <w:r>
        <w:rPr>
          <w:rFonts w:ascii="Arial Narrow" w:eastAsia="Arial Narrow" w:hAnsi="Arial Narrow"/>
          <w:sz w:val="24"/>
          <w:szCs w:val="24"/>
        </w:rPr>
        <w:lastRenderedPageBreak/>
        <w:t xml:space="preserve">y desde lo social es un factor que imprime los principales </w:t>
      </w:r>
      <w:r w:rsidRPr="00C63288">
        <w:rPr>
          <w:rFonts w:ascii="Arial Narrow" w:eastAsia="Arial Narrow" w:hAnsi="Arial Narrow"/>
          <w:sz w:val="24"/>
          <w:szCs w:val="24"/>
        </w:rPr>
        <w:t>elementos</w:t>
      </w:r>
      <w:r w:rsidR="00C63288" w:rsidRPr="00C63288">
        <w:rPr>
          <w:rFonts w:ascii="Arial Narrow" w:eastAsia="Arial Narrow" w:hAnsi="Arial Narrow"/>
          <w:sz w:val="24"/>
          <w:szCs w:val="24"/>
        </w:rPr>
        <w:t xml:space="preserve"> de identidad</w:t>
      </w:r>
      <w:r>
        <w:rPr>
          <w:rFonts w:ascii="Arial Narrow" w:eastAsia="Arial Narrow" w:hAnsi="Arial Narrow"/>
          <w:sz w:val="24"/>
          <w:szCs w:val="24"/>
        </w:rPr>
        <w:t>, ambos elementos se fusionan incidiendo en el bienestar de la sociedad.</w:t>
      </w:r>
    </w:p>
    <w:p w:rsidR="00556FC3" w:rsidRDefault="006D019F">
      <w:pPr>
        <w:spacing w:line="480" w:lineRule="auto"/>
        <w:ind w:left="0"/>
        <w:jc w:val="center"/>
        <w:rPr>
          <w:rFonts w:ascii="Arial Narrow" w:eastAsia="Arial Narrow" w:hAnsi="Arial Narrow"/>
          <w:b/>
          <w:sz w:val="24"/>
          <w:szCs w:val="24"/>
        </w:rPr>
      </w:pPr>
      <w:r>
        <w:rPr>
          <w:rFonts w:ascii="Arial Narrow" w:eastAsia="Arial Narrow" w:hAnsi="Arial Narrow"/>
          <w:b/>
          <w:sz w:val="24"/>
          <w:szCs w:val="24"/>
        </w:rPr>
        <w:t>Fuentes Consultadas</w:t>
      </w:r>
    </w:p>
    <w:p w:rsidR="00556FC3" w:rsidRDefault="00F86B15">
      <w:pPr>
        <w:pStyle w:val="Prrafodelista"/>
        <w:numPr>
          <w:ilvl w:val="0"/>
          <w:numId w:val="3"/>
        </w:numPr>
        <w:spacing w:before="240" w:line="480" w:lineRule="auto"/>
        <w:ind w:left="0"/>
        <w:contextualSpacing/>
        <w:jc w:val="both"/>
        <w:rPr>
          <w:rFonts w:ascii="Arial Narrow" w:eastAsia="Arial Narrow" w:hAnsi="Arial Narrow"/>
        </w:rPr>
      </w:pPr>
      <w:r>
        <w:rPr>
          <w:rFonts w:ascii="Arial Narrow" w:eastAsia="Arial Narrow" w:hAnsi="Arial Narrow"/>
        </w:rPr>
        <w:t>Abejón</w:t>
      </w:r>
      <w:r w:rsidR="006D019F">
        <w:rPr>
          <w:rFonts w:ascii="Arial Narrow" w:eastAsia="Arial Narrow" w:hAnsi="Arial Narrow"/>
        </w:rPr>
        <w:t xml:space="preserve"> Teresa, Maldonado Angeles (s.f.). Vocabulario de gestión del turismo y del patrimonio cultural. Recuperado el 15 de agosto de 2016, de CINDOC del Consejo Superior de Investigaciones Científicas de: http://www.gestioncultural.org/recursos_culturales.php?id_enlaces=140763</w:t>
      </w:r>
    </w:p>
    <w:p w:rsidR="00556FC3" w:rsidRDefault="006D019F">
      <w:pPr>
        <w:pStyle w:val="Bibliografa"/>
        <w:numPr>
          <w:ilvl w:val="0"/>
          <w:numId w:val="3"/>
        </w:numPr>
        <w:spacing w:before="240" w:after="240" w:line="480" w:lineRule="auto"/>
        <w:ind w:left="0"/>
        <w:jc w:val="both"/>
        <w:rPr>
          <w:rFonts w:ascii="Arial Narrow" w:eastAsia="Arial Narrow" w:hAnsi="Arial Narrow"/>
          <w:sz w:val="24"/>
          <w:szCs w:val="24"/>
        </w:rPr>
      </w:pPr>
      <w:r>
        <w:rPr>
          <w:rFonts w:ascii="Arial Narrow" w:eastAsia="Arial Narrow" w:hAnsi="Arial Narrow"/>
          <w:sz w:val="24"/>
          <w:szCs w:val="24"/>
        </w:rPr>
        <w:t>Alvarenga, D. &amp; de Boer, Anja</w:t>
      </w:r>
      <w:r>
        <w:rPr>
          <w:rFonts w:ascii="Arial Narrow" w:eastAsia="Arial Narrow" w:hAnsi="Arial Narrow"/>
          <w:b/>
          <w:sz w:val="24"/>
          <w:szCs w:val="24"/>
        </w:rPr>
        <w:t xml:space="preserve">, </w:t>
      </w:r>
      <w:r>
        <w:rPr>
          <w:rFonts w:ascii="Arial Narrow" w:eastAsia="Arial Narrow" w:hAnsi="Arial Narrow"/>
          <w:sz w:val="24"/>
          <w:szCs w:val="24"/>
        </w:rPr>
        <w:t>Mejía y cols.(2011).</w:t>
      </w:r>
      <w:r>
        <w:rPr>
          <w:rFonts w:ascii="Arial Narrow" w:eastAsia="Arial Narrow" w:hAnsi="Arial Narrow"/>
          <w:i/>
          <w:sz w:val="24"/>
          <w:szCs w:val="24"/>
        </w:rPr>
        <w:t xml:space="preserve">Estrategias Regionales de Cultura, </w:t>
      </w:r>
      <w:r>
        <w:rPr>
          <w:rFonts w:ascii="Arial Narrow" w:eastAsia="Arial Narrow" w:hAnsi="Arial Narrow"/>
          <w:sz w:val="24"/>
          <w:szCs w:val="24"/>
        </w:rPr>
        <w:t>Tegucigalpa: PNUD-ESPAÑA.</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Cardona, Patricia: Subgerente de Promoción y Turismo Cultural Sostenible del Instituto Hondureño de Antropología e Historia (IHAH). (12 de mayo de 2017). Proyectos de difusión del IHAH. (Dennis Ramírez, Entrevistador)</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Cuenca, J. (2004). El Patrimonio en el ámbito de educación no formal. Recuperado el 15 de agosto de 2016, de Proquest: http://wwwlib.umi.com/cr/uhu/fullcit?p3126904</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Figueroa, Lidisis y cols (2013). Sistematización Proyecto de Estudios Históricos y Etnohistóricos de Honduras Pehe 2009-2013. Tegucigalpa: IHAH.</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Instituto Hondureño de Antropología e Historia (IHAH). (1997). Las aventuras de Patri y Monio. Tegucigalpa: Litografía </w:t>
      </w:r>
      <w:r w:rsidR="0001507C">
        <w:rPr>
          <w:rFonts w:ascii="Arial Narrow" w:eastAsia="Arial Narrow" w:hAnsi="Arial Narrow"/>
          <w:sz w:val="24"/>
          <w:szCs w:val="24"/>
        </w:rPr>
        <w:t>López.</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Instituto Hondureño de Antropología e Historia (IHAH). (2008). Manual básico de guardarrecursos cultural de Honduras. Tegucigalpa: Prografip.</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lastRenderedPageBreak/>
        <w:t>Martínez, Aida. (2012). Diagnóstico de la situación actual del Inventario Nacional de Inmuebles Patrimoniales. Tegucigalpa: IHAH-AECID.</w:t>
      </w:r>
    </w:p>
    <w:p w:rsidR="00556FC3" w:rsidRDefault="00E67D4B">
      <w:pPr>
        <w:pStyle w:val="Bibliografa"/>
        <w:numPr>
          <w:ilvl w:val="0"/>
          <w:numId w:val="3"/>
        </w:num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Mejía</w:t>
      </w:r>
      <w:r w:rsidR="006D019F">
        <w:rPr>
          <w:rFonts w:ascii="Arial Narrow" w:eastAsia="Arial Narrow" w:hAnsi="Arial Narrow"/>
          <w:sz w:val="24"/>
          <w:szCs w:val="24"/>
        </w:rPr>
        <w:t>, Mario. (2004). Honduras y el universo del patrimonio intangible. Tegucigalpa: Comisión Hondureña de Cooperación con la UNESCO y la Secretaría de Cultura, Artes y Deportes.</w:t>
      </w:r>
    </w:p>
    <w:p w:rsidR="00556FC3" w:rsidRDefault="006D019F">
      <w:pPr>
        <w:pStyle w:val="Bibliografa"/>
        <w:numPr>
          <w:ilvl w:val="0"/>
          <w:numId w:val="3"/>
        </w:numPr>
        <w:spacing w:after="24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Mejía, Mario (2011). </w:t>
      </w:r>
      <w:r>
        <w:rPr>
          <w:rFonts w:ascii="Arial Narrow" w:eastAsia="Arial Narrow" w:hAnsi="Arial Narrow"/>
          <w:i/>
          <w:sz w:val="24"/>
          <w:szCs w:val="24"/>
        </w:rPr>
        <w:t>Estrategia Regional de Cultura, Región Oriente (Olancho).</w:t>
      </w:r>
      <w:r>
        <w:rPr>
          <w:rFonts w:ascii="Arial Narrow" w:eastAsia="Arial Narrow" w:hAnsi="Arial Narrow"/>
          <w:sz w:val="24"/>
          <w:szCs w:val="24"/>
        </w:rPr>
        <w:t xml:space="preserve"> Tegucigalpa: PNUD-ESPAÑA.</w:t>
      </w:r>
    </w:p>
    <w:p w:rsidR="00556FC3" w:rsidRDefault="006D019F">
      <w:pPr>
        <w:pStyle w:val="Prrafodelista"/>
        <w:numPr>
          <w:ilvl w:val="0"/>
          <w:numId w:val="3"/>
        </w:numPr>
        <w:spacing w:after="240" w:line="480" w:lineRule="auto"/>
        <w:ind w:left="0"/>
        <w:contextualSpacing/>
        <w:jc w:val="both"/>
        <w:rPr>
          <w:rFonts w:ascii="Arial Narrow" w:eastAsia="Arial Narrow" w:hAnsi="Arial Narrow"/>
          <w:sz w:val="24"/>
          <w:szCs w:val="24"/>
        </w:rPr>
      </w:pPr>
      <w:r>
        <w:rPr>
          <w:rFonts w:ascii="Arial Narrow" w:eastAsia="Arial Narrow" w:hAnsi="Arial Narrow"/>
          <w:sz w:val="24"/>
          <w:szCs w:val="24"/>
        </w:rPr>
        <w:t>Perez, Wendy: Directora de Cultura Popular de la Secretaría de Cultura, Artes y Deportes. (15 de julio de 2010). Banco Audiovisual de la Cultura Popular Hondureña. (Dennis Ramírez, Entrevistador).</w:t>
      </w:r>
    </w:p>
    <w:p w:rsidR="00556FC3" w:rsidRDefault="006D019F">
      <w:pPr>
        <w:pStyle w:val="Prrafodelista"/>
        <w:numPr>
          <w:ilvl w:val="0"/>
          <w:numId w:val="3"/>
        </w:numPr>
        <w:spacing w:after="240" w:line="480" w:lineRule="auto"/>
        <w:ind w:left="0"/>
        <w:contextualSpacing/>
        <w:jc w:val="both"/>
        <w:rPr>
          <w:rFonts w:ascii="Arial Narrow" w:eastAsia="Arial Narrow" w:hAnsi="Arial Narrow"/>
          <w:sz w:val="24"/>
          <w:szCs w:val="24"/>
        </w:rPr>
      </w:pPr>
      <w:r>
        <w:rPr>
          <w:rFonts w:ascii="Arial Narrow" w:eastAsia="Arial Narrow" w:hAnsi="Arial Narrow"/>
          <w:sz w:val="24"/>
          <w:szCs w:val="24"/>
        </w:rPr>
        <w:t xml:space="preserve">Programa de las Naciones Unidas para el Desarrollo (PNUD). (2004). </w:t>
      </w:r>
      <w:r>
        <w:rPr>
          <w:rFonts w:ascii="Arial Narrow" w:eastAsia="Arial Narrow" w:hAnsi="Arial Narrow"/>
          <w:i/>
          <w:sz w:val="24"/>
          <w:szCs w:val="24"/>
        </w:rPr>
        <w:t>Informe sobre Desarrollo Humano, Honduras 2003</w:t>
      </w:r>
      <w:r>
        <w:rPr>
          <w:rFonts w:ascii="Arial Narrow" w:eastAsia="Arial Narrow" w:hAnsi="Arial Narrow"/>
          <w:sz w:val="24"/>
          <w:szCs w:val="24"/>
        </w:rPr>
        <w:t>. San José, Costa Rica: EDITORAMA</w:t>
      </w:r>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Programa Nacional de Fortalecimiento de la Gestión Urbana de los Centros Históricos, PGU. (2012). </w:t>
      </w:r>
      <w:r>
        <w:rPr>
          <w:rFonts w:ascii="Arial Narrow" w:eastAsia="Arial Narrow" w:hAnsi="Arial Narrow"/>
          <w:i/>
          <w:sz w:val="24"/>
          <w:szCs w:val="24"/>
        </w:rPr>
        <w:t>Manual de Procesos y Procedimientos para el Control Urbano de los Centros Históricos.</w:t>
      </w:r>
      <w:r>
        <w:rPr>
          <w:rFonts w:ascii="Arial Narrow" w:eastAsia="Arial Narrow" w:hAnsi="Arial Narrow"/>
          <w:sz w:val="24"/>
          <w:szCs w:val="24"/>
        </w:rPr>
        <w:t xml:space="preserve"> Tegucigalpa: Gráficos Tegucigalpa.</w:t>
      </w:r>
    </w:p>
    <w:p w:rsidR="00556FC3" w:rsidRDefault="006D019F">
      <w:pPr>
        <w:pStyle w:val="Bibliografa"/>
        <w:numPr>
          <w:ilvl w:val="0"/>
          <w:numId w:val="3"/>
        </w:numPr>
        <w:spacing w:before="480" w:after="240" w:line="480" w:lineRule="auto"/>
        <w:ind w:left="0"/>
        <w:jc w:val="both"/>
        <w:rPr>
          <w:rFonts w:ascii="Arial Narrow" w:eastAsia="Arial Narrow" w:hAnsi="Arial Narrow"/>
          <w:sz w:val="24"/>
          <w:szCs w:val="24"/>
        </w:rPr>
      </w:pPr>
      <w:r>
        <w:rPr>
          <w:rFonts w:ascii="Arial Narrow" w:eastAsia="Arial Narrow" w:hAnsi="Arial Narrow"/>
          <w:sz w:val="24"/>
          <w:szCs w:val="24"/>
        </w:rPr>
        <w:t xml:space="preserve">Solano, Pedro. (2005). La Esperanza es Verde: </w:t>
      </w:r>
      <w:r w:rsidR="00E67D4B">
        <w:rPr>
          <w:rFonts w:ascii="Arial Narrow" w:eastAsia="Arial Narrow" w:hAnsi="Arial Narrow"/>
          <w:sz w:val="24"/>
          <w:szCs w:val="24"/>
        </w:rPr>
        <w:t>áreas</w:t>
      </w:r>
      <w:r>
        <w:rPr>
          <w:rFonts w:ascii="Arial Narrow" w:eastAsia="Arial Narrow" w:hAnsi="Arial Narrow"/>
          <w:sz w:val="24"/>
          <w:szCs w:val="24"/>
        </w:rPr>
        <w:t xml:space="preserve"> naturales protegidas en el Perú. Lima: REMAR impresiones. Recuperado el 4 de julio de 2017 de: </w:t>
      </w:r>
      <w:hyperlink r:id="rId14">
        <w:r>
          <w:rPr>
            <w:rStyle w:val="Hipervnculo"/>
            <w:rFonts w:ascii="Arial Narrow" w:eastAsia="Arial Narrow" w:hAnsi="Arial Narrow"/>
            <w:sz w:val="24"/>
            <w:szCs w:val="24"/>
          </w:rPr>
          <w:t>https://issuu.com/conservamospornaturaleza/docs/la_esperanza_es_verde</w:t>
        </w:r>
      </w:hyperlink>
    </w:p>
    <w:p w:rsidR="00556FC3" w:rsidRDefault="006D019F">
      <w:pPr>
        <w:pStyle w:val="Bibliografa"/>
        <w:numPr>
          <w:ilvl w:val="0"/>
          <w:numId w:val="3"/>
        </w:numPr>
        <w:spacing w:before="480" w:line="480" w:lineRule="auto"/>
        <w:ind w:left="0"/>
        <w:jc w:val="both"/>
        <w:rPr>
          <w:rFonts w:ascii="Arial Narrow" w:eastAsia="Arial Narrow" w:hAnsi="Arial Narrow"/>
          <w:sz w:val="24"/>
          <w:szCs w:val="24"/>
        </w:rPr>
      </w:pPr>
      <w:r>
        <w:rPr>
          <w:rFonts w:ascii="Arial Narrow" w:eastAsia="Arial Narrow" w:hAnsi="Arial Narrow"/>
          <w:sz w:val="24"/>
          <w:szCs w:val="24"/>
        </w:rPr>
        <w:t>UNESCO. (2012). Textos Fundamentales de la Convención para la Salvaguardia del Patrimonio Cultural Inmaterial de 2003. Paris: UNESCO.</w:t>
      </w:r>
    </w:p>
    <w:p w:rsidR="00556FC3" w:rsidRPr="00CA1A6E" w:rsidRDefault="006D019F" w:rsidP="00CA1A6E">
      <w:pPr>
        <w:pStyle w:val="Bibliografa"/>
        <w:numPr>
          <w:ilvl w:val="0"/>
          <w:numId w:val="3"/>
        </w:numPr>
        <w:spacing w:before="480" w:line="276" w:lineRule="auto"/>
        <w:ind w:left="0"/>
        <w:jc w:val="both"/>
        <w:rPr>
          <w:rFonts w:hAnsi="Times New Roman"/>
          <w:sz w:val="24"/>
          <w:szCs w:val="24"/>
        </w:rPr>
      </w:pPr>
      <w:r w:rsidRPr="00CA1A6E">
        <w:rPr>
          <w:rFonts w:ascii="Arial Narrow" w:eastAsia="Arial Narrow" w:hAnsi="Arial Narrow"/>
          <w:sz w:val="24"/>
          <w:szCs w:val="24"/>
        </w:rPr>
        <w:t>Valvassori, Mita. (2006). El personaje trickster o "burlador" en el cuento tradicional y. Culturas P</w:t>
      </w:r>
      <w:r w:rsidR="00D469DA" w:rsidRPr="00CA1A6E">
        <w:rPr>
          <w:rFonts w:ascii="Arial Narrow" w:eastAsia="Arial Narrow" w:hAnsi="Arial Narrow"/>
          <w:sz w:val="24"/>
          <w:szCs w:val="24"/>
        </w:rPr>
        <w:t>opulares. Revista Electrónica 1</w:t>
      </w:r>
      <w:r w:rsidRPr="00CA1A6E">
        <w:rPr>
          <w:rFonts w:ascii="Arial Narrow" w:eastAsia="Arial Narrow" w:hAnsi="Arial Narrow"/>
          <w:sz w:val="24"/>
          <w:szCs w:val="24"/>
        </w:rPr>
        <w:t xml:space="preserve">, 27. Recuperado el 19 de julio de 2017 de: </w:t>
      </w:r>
      <w:hyperlink r:id="rId15">
        <w:r w:rsidRPr="00CA1A6E">
          <w:rPr>
            <w:rStyle w:val="Hipervnculo"/>
            <w:rFonts w:ascii="Arial Narrow" w:eastAsia="Arial Narrow" w:hAnsi="Arial Narrow"/>
            <w:sz w:val="24"/>
            <w:szCs w:val="24"/>
          </w:rPr>
          <w:t>http://www.culturaspopulares.org/textos%20I-1/articulos/Valvassori.pdf</w:t>
        </w:r>
      </w:hyperlink>
    </w:p>
    <w:sectPr w:rsidR="00556FC3" w:rsidRPr="00CA1A6E" w:rsidSect="000614B4">
      <w:footerReference w:type="default" r:id="rId16"/>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1EE" w:rsidRDefault="002731EE">
      <w:r>
        <w:separator/>
      </w:r>
    </w:p>
  </w:endnote>
  <w:endnote w:type="continuationSeparator" w:id="0">
    <w:p w:rsidR="002731EE" w:rsidRDefault="0027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C3" w:rsidRDefault="00816840">
    <w:pPr>
      <w:pStyle w:val="Piedepgina"/>
      <w:jc w:val="right"/>
      <w:rPr>
        <w:rFonts w:hAnsi="Times New Roman"/>
        <w:sz w:val="24"/>
        <w:szCs w:val="24"/>
      </w:rPr>
    </w:pPr>
    <w:r>
      <w:fldChar w:fldCharType="begin"/>
    </w:r>
    <w:r w:rsidR="006D019F">
      <w:instrText>PAGE  \* MERGEFORMAT</w:instrText>
    </w:r>
    <w:r>
      <w:fldChar w:fldCharType="separate"/>
    </w:r>
    <w:r w:rsidR="00285D9E" w:rsidRPr="00285D9E">
      <w:rPr>
        <w:rFonts w:hAnsi="Times New Roman"/>
        <w:noProof/>
        <w:sz w:val="24"/>
        <w:szCs w:val="24"/>
      </w:rPr>
      <w:t>18</w:t>
    </w:r>
    <w:r>
      <w:fldChar w:fldCharType="end"/>
    </w:r>
  </w:p>
  <w:p w:rsidR="00556FC3" w:rsidRDefault="00556FC3">
    <w:pPr>
      <w:pStyle w:val="Piedepgina"/>
      <w:rPr>
        <w:rFonts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1EE" w:rsidRDefault="002731EE">
      <w:r>
        <w:separator/>
      </w:r>
    </w:p>
  </w:footnote>
  <w:footnote w:type="continuationSeparator" w:id="0">
    <w:p w:rsidR="002731EE" w:rsidRDefault="002731EE">
      <w:r>
        <w:continuationSeparator/>
      </w:r>
    </w:p>
  </w:footnote>
  <w:footnote w:id="1">
    <w:p w:rsidR="00606559" w:rsidRPr="00304E95" w:rsidRDefault="00606559" w:rsidP="00606559">
      <w:pPr>
        <w:pStyle w:val="Textonotapie"/>
        <w:ind w:left="0"/>
        <w:jc w:val="both"/>
        <w:rPr>
          <w:rFonts w:ascii="Arial Narrow" w:hAnsi="Arial Narrow"/>
        </w:rPr>
      </w:pPr>
      <w:r w:rsidRPr="00304E95">
        <w:rPr>
          <w:rStyle w:val="Refdenotaalpie"/>
          <w:rFonts w:ascii="Arial Narrow" w:hAnsi="Arial Narrow"/>
        </w:rPr>
        <w:footnoteRef/>
      </w:r>
      <w:r w:rsidR="00165165">
        <w:rPr>
          <w:rFonts w:ascii="Arial Narrow" w:hAnsi="Arial Narrow"/>
        </w:rPr>
        <w:t xml:space="preserve"> </w:t>
      </w:r>
      <w:r w:rsidRPr="00304E95">
        <w:rPr>
          <w:rFonts w:ascii="Arial Narrow" w:hAnsi="Arial Narrow"/>
        </w:rPr>
        <w:t>Licenciado en Historia y egresado de la Maestría Centroamericana en Gestión del Patrimonio Cultural p</w:t>
      </w:r>
      <w:r>
        <w:rPr>
          <w:rFonts w:ascii="Arial Narrow" w:hAnsi="Arial Narrow"/>
        </w:rPr>
        <w:t>ara el Desarrollo. Actualmente es subdirector del Archivo Nacional de Honduras y Docente de la Clase de Historia de Honduras de la Universidad Nacional Autónoma de Honduras.</w:t>
      </w:r>
    </w:p>
  </w:footnote>
  <w:footnote w:id="2">
    <w:p w:rsidR="00EB0CF5" w:rsidRPr="00EB0CF5" w:rsidRDefault="00EB0CF5" w:rsidP="00EB0CF5">
      <w:pPr>
        <w:pStyle w:val="Textonotapie"/>
        <w:ind w:left="0"/>
        <w:jc w:val="both"/>
        <w:rPr>
          <w:lang w:val="es-ES"/>
        </w:rPr>
      </w:pPr>
      <w:r>
        <w:rPr>
          <w:rStyle w:val="Refdenotaalpie"/>
        </w:rPr>
        <w:footnoteRef/>
      </w:r>
      <w:r>
        <w:t xml:space="preserve"> </w:t>
      </w:r>
      <w:r w:rsidRPr="00C467A4">
        <w:rPr>
          <w:rFonts w:ascii="Arial Narrow" w:hAnsi="Arial Narrow"/>
        </w:rPr>
        <w:t xml:space="preserve">Este gráfico fue elaborado en base a las problemáticas identificadas por los pobladores, en la elaboración de las Estrategias Regionales de Cultura en Honduras (Mejía y cols. </w:t>
      </w:r>
      <w:r w:rsidRPr="00EB0CF5">
        <w:rPr>
          <w:rFonts w:ascii="Arial Narrow" w:hAnsi="Arial Narrow"/>
          <w:lang w:val="en-US"/>
        </w:rPr>
        <w:t>2011). This graphic was elaborated based on the problems identified by the inhabitants, in the elaboration of the Regional Strategies of Culture in Honduras</w:t>
      </w:r>
      <w:r>
        <w:rPr>
          <w:rFonts w:ascii="Arial Narrow" w:hAnsi="Arial Narrow"/>
          <w:lang w:val="en-US"/>
        </w:rPr>
        <w:t xml:space="preserve"> </w:t>
      </w:r>
      <w:r w:rsidRPr="00EB0CF5">
        <w:rPr>
          <w:rFonts w:ascii="Arial Narrow" w:hAnsi="Arial Narrow"/>
          <w:lang w:val="en-US"/>
        </w:rPr>
        <w:t xml:space="preserve">(Mejia y cols. </w:t>
      </w:r>
      <w:r w:rsidRPr="00EB0CF5">
        <w:rPr>
          <w:rFonts w:ascii="Arial Narrow" w:hAnsi="Arial Narrow"/>
          <w:lang w:val="es-ES"/>
        </w:rPr>
        <w:t>2011).</w:t>
      </w:r>
    </w:p>
  </w:footnote>
  <w:footnote w:id="3">
    <w:p w:rsidR="00556FC3" w:rsidRDefault="006D019F">
      <w:pPr>
        <w:pStyle w:val="Textonotapie"/>
        <w:ind w:left="0"/>
        <w:jc w:val="both"/>
        <w:rPr>
          <w:rFonts w:ascii="Arial Narrow" w:eastAsia="Arial Narrow" w:hAnsi="Arial Narrow"/>
        </w:rPr>
      </w:pPr>
      <w:r w:rsidRPr="00C63288">
        <w:rPr>
          <w:rStyle w:val="Refdenotaalpie"/>
          <w:rFonts w:ascii="Arial Narrow" w:eastAsia="Arial Narrow" w:hAnsi="Arial Narrow"/>
          <w:vertAlign w:val="baseline"/>
        </w:rPr>
        <w:footnoteRef/>
      </w:r>
      <w:r w:rsidR="00C63288">
        <w:rPr>
          <w:rFonts w:ascii="Arial Narrow" w:eastAsia="Arial Narrow" w:hAnsi="Arial Narrow"/>
        </w:rPr>
        <w:t xml:space="preserve"> </w:t>
      </w:r>
      <w:r>
        <w:rPr>
          <w:rFonts w:ascii="Arial Narrow" w:eastAsia="Arial Narrow" w:hAnsi="Arial Narrow"/>
        </w:rPr>
        <w:t>Imagen tomada de https://comicvine.gamespot.com/jellystone-national-park/4020-60925/images/</w:t>
      </w:r>
    </w:p>
  </w:footnote>
  <w:footnote w:id="4">
    <w:p w:rsidR="00556FC3" w:rsidRDefault="006D019F">
      <w:pPr>
        <w:pStyle w:val="Textonotapie"/>
        <w:ind w:left="0"/>
        <w:jc w:val="both"/>
        <w:rPr>
          <w:rFonts w:hAnsi="Times New Roman"/>
        </w:rPr>
      </w:pPr>
      <w:r>
        <w:rPr>
          <w:rFonts w:ascii="Arial Narrow" w:eastAsia="Arial Narrow" w:hAnsi="Arial Narrow"/>
        </w:rPr>
        <w:footnoteRef/>
      </w:r>
      <w:r>
        <w:rPr>
          <w:rFonts w:ascii="Arial Narrow" w:eastAsia="Arial Narrow" w:hAnsi="Arial Narrow"/>
        </w:rPr>
        <w:t>Jellystone: composición de palabras entre Jelly que en ingles significa miel y el nombre oficial del parque Yellowstone</w:t>
      </w:r>
    </w:p>
  </w:footnote>
  <w:footnote w:id="5">
    <w:p w:rsidR="00556FC3" w:rsidRDefault="006D019F">
      <w:pPr>
        <w:pStyle w:val="Textonotapie"/>
        <w:ind w:left="0"/>
        <w:jc w:val="both"/>
        <w:rPr>
          <w:rFonts w:hAnsi="Times New Roman"/>
        </w:rPr>
      </w:pPr>
      <w:r>
        <w:rPr>
          <w:rStyle w:val="Refdenotaalpie"/>
          <w:rFonts w:hAnsi="Times New Roman"/>
        </w:rPr>
        <w:footnoteRef/>
      </w:r>
      <w:r>
        <w:rPr>
          <w:rFonts w:ascii="Arial Narrow" w:eastAsia="Arial Narrow" w:hAnsi="Arial Narrow"/>
        </w:rPr>
        <w:t xml:space="preserve">Imagen tomada de: http://humor.atresmedia.com/liopardo/memes/las-9-reglas-sagradas-de-el-coyote-y-el-correcaminos#st </w:t>
      </w:r>
    </w:p>
  </w:footnote>
  <w:footnote w:id="6">
    <w:p w:rsidR="00556FC3" w:rsidRDefault="006D019F">
      <w:pPr>
        <w:pStyle w:val="Textonotapie"/>
        <w:ind w:left="0"/>
        <w:rPr>
          <w:rFonts w:hAnsi="Times New Roman"/>
        </w:rPr>
      </w:pPr>
      <w:r>
        <w:rPr>
          <w:rStyle w:val="Refdenotaalpie"/>
          <w:rFonts w:hAnsi="Times New Roman"/>
        </w:rPr>
        <w:footnoteRef/>
      </w:r>
      <w:r>
        <w:rPr>
          <w:rFonts w:ascii="Arial Narrow" w:eastAsia="Arial Narrow" w:hAnsi="Arial Narrow"/>
        </w:rPr>
        <w:t>Imagen tomada de la portada del pasquín (IHAH, 1997)</w:t>
      </w:r>
    </w:p>
  </w:footnote>
  <w:footnote w:id="7">
    <w:p w:rsidR="00556FC3" w:rsidRDefault="006D019F">
      <w:pPr>
        <w:pStyle w:val="Textonotapie"/>
        <w:ind w:left="0"/>
        <w:rPr>
          <w:rFonts w:ascii="Arial Narrow" w:eastAsia="Arial Narrow" w:hAnsi="Arial Narrow"/>
          <w:sz w:val="24"/>
          <w:szCs w:val="24"/>
        </w:rPr>
      </w:pPr>
      <w:r>
        <w:rPr>
          <w:rStyle w:val="Refdenotaalpie"/>
          <w:rFonts w:ascii="Arial Narrow" w:eastAsia="Arial Narrow" w:hAnsi="Arial Narrow"/>
          <w:sz w:val="24"/>
          <w:szCs w:val="24"/>
        </w:rPr>
        <w:footnoteRef/>
      </w:r>
      <w:r>
        <w:rPr>
          <w:rFonts w:ascii="Arial Narrow" w:eastAsia="Arial Narrow" w:hAnsi="Arial Narrow"/>
          <w:sz w:val="24"/>
          <w:szCs w:val="24"/>
        </w:rPr>
        <w:t xml:space="preserve"> Imagen tomada de (Ramírez,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42A003"/>
    <w:lvl w:ilvl="0" w:tplc="9990BBAC">
      <w:start w:val="1"/>
      <w:numFmt w:val="lowerLetter"/>
      <w:lvlText w:val="%1."/>
      <w:lvlJc w:val="left"/>
      <w:pPr>
        <w:ind w:left="720" w:hanging="360"/>
      </w:pPr>
    </w:lvl>
    <w:lvl w:ilvl="1" w:tplc="2FD45E96">
      <w:start w:val="1"/>
      <w:numFmt w:val="decimal"/>
      <w:lvlText w:val="%2)"/>
      <w:lvlJc w:val="left"/>
      <w:pPr>
        <w:ind w:left="1440" w:hanging="360"/>
      </w:pPr>
      <w:rPr>
        <w:rFonts w:ascii="Arial Narrow" w:eastAsia="Arial Narrow" w:hAnsi="Arial Narrow"/>
        <w:w w:val="100"/>
        <w:sz w:val="23"/>
        <w:szCs w:val="23"/>
        <w:shd w:val="clear" w:color="auto" w:fill="auto"/>
      </w:rPr>
    </w:lvl>
    <w:lvl w:ilvl="2" w:tplc="2BA264AE">
      <w:start w:val="1"/>
      <w:numFmt w:val="lowerRoman"/>
      <w:lvlText w:val="%3."/>
      <w:lvlJc w:val="right"/>
      <w:pPr>
        <w:ind w:left="2160" w:hanging="180"/>
      </w:pPr>
    </w:lvl>
    <w:lvl w:ilvl="3" w:tplc="F4FAA556">
      <w:start w:val="1"/>
      <w:numFmt w:val="decimal"/>
      <w:lvlText w:val="%4."/>
      <w:lvlJc w:val="left"/>
      <w:pPr>
        <w:ind w:left="2880" w:hanging="360"/>
      </w:pPr>
    </w:lvl>
    <w:lvl w:ilvl="4" w:tplc="3FB2EEB0">
      <w:start w:val="1"/>
      <w:numFmt w:val="lowerLetter"/>
      <w:lvlText w:val="%5."/>
      <w:lvlJc w:val="left"/>
      <w:pPr>
        <w:ind w:left="3600" w:hanging="360"/>
      </w:pPr>
    </w:lvl>
    <w:lvl w:ilvl="5" w:tplc="9B825FFC">
      <w:start w:val="1"/>
      <w:numFmt w:val="lowerRoman"/>
      <w:lvlText w:val="%6."/>
      <w:lvlJc w:val="right"/>
      <w:pPr>
        <w:ind w:left="4320" w:hanging="180"/>
      </w:pPr>
    </w:lvl>
    <w:lvl w:ilvl="6" w:tplc="CBEA524A">
      <w:start w:val="1"/>
      <w:numFmt w:val="decimal"/>
      <w:lvlText w:val="%7."/>
      <w:lvlJc w:val="left"/>
      <w:pPr>
        <w:ind w:left="5040" w:hanging="360"/>
      </w:pPr>
    </w:lvl>
    <w:lvl w:ilvl="7" w:tplc="56520B32">
      <w:start w:val="1"/>
      <w:numFmt w:val="lowerLetter"/>
      <w:lvlText w:val="%8."/>
      <w:lvlJc w:val="left"/>
      <w:pPr>
        <w:ind w:left="5760" w:hanging="360"/>
      </w:pPr>
    </w:lvl>
    <w:lvl w:ilvl="8" w:tplc="F4D64526">
      <w:start w:val="1"/>
      <w:numFmt w:val="lowerRoman"/>
      <w:lvlText w:val="%9."/>
      <w:lvlJc w:val="right"/>
      <w:pPr>
        <w:ind w:left="6480" w:hanging="180"/>
      </w:pPr>
    </w:lvl>
  </w:abstractNum>
  <w:abstractNum w:abstractNumId="1" w15:restartNumberingAfterBreak="0">
    <w:nsid w:val="00000002"/>
    <w:multiLevelType w:val="hybridMultilevel"/>
    <w:tmpl w:val="79DACB3B"/>
    <w:lvl w:ilvl="0" w:tplc="624EBE0E">
      <w:start w:val="1"/>
      <w:numFmt w:val="bullet"/>
      <w:lvlText w:val="Ø"/>
      <w:lvlJc w:val="left"/>
      <w:pPr>
        <w:ind w:left="720" w:hanging="360"/>
      </w:pPr>
      <w:rPr>
        <w:rFonts w:ascii="Wingdings" w:eastAsia="Wingdings" w:hAnsi="Wingdings"/>
        <w:w w:val="100"/>
        <w:sz w:val="20"/>
        <w:szCs w:val="20"/>
        <w:shd w:val="clear" w:color="auto" w:fill="auto"/>
      </w:rPr>
    </w:lvl>
    <w:lvl w:ilvl="1" w:tplc="C2166E3E">
      <w:start w:val="1"/>
      <w:numFmt w:val="bullet"/>
      <w:lvlText w:val="o"/>
      <w:lvlJc w:val="left"/>
      <w:pPr>
        <w:ind w:left="1440" w:hanging="360"/>
      </w:pPr>
      <w:rPr>
        <w:rFonts w:ascii="Courier New" w:eastAsia="Courier New" w:hAnsi="Courier New"/>
        <w:w w:val="100"/>
        <w:sz w:val="20"/>
        <w:szCs w:val="20"/>
        <w:shd w:val="clear" w:color="auto" w:fill="auto"/>
      </w:rPr>
    </w:lvl>
    <w:lvl w:ilvl="2" w:tplc="D826A50E">
      <w:start w:val="1"/>
      <w:numFmt w:val="bullet"/>
      <w:lvlText w:val="§"/>
      <w:lvlJc w:val="left"/>
      <w:pPr>
        <w:ind w:left="2160" w:hanging="360"/>
      </w:pPr>
      <w:rPr>
        <w:rFonts w:ascii="Wingdings" w:eastAsia="Wingdings" w:hAnsi="Wingdings"/>
        <w:w w:val="100"/>
        <w:sz w:val="20"/>
        <w:szCs w:val="20"/>
        <w:shd w:val="clear" w:color="auto" w:fill="auto"/>
      </w:rPr>
    </w:lvl>
    <w:lvl w:ilvl="3" w:tplc="93406AD2">
      <w:start w:val="1"/>
      <w:numFmt w:val="bullet"/>
      <w:lvlText w:val="·"/>
      <w:lvlJc w:val="left"/>
      <w:pPr>
        <w:ind w:left="2880" w:hanging="360"/>
      </w:pPr>
      <w:rPr>
        <w:rFonts w:ascii="Symbol" w:eastAsia="Symbol" w:hAnsi="Symbol"/>
        <w:w w:val="100"/>
        <w:sz w:val="20"/>
        <w:szCs w:val="20"/>
        <w:shd w:val="clear" w:color="auto" w:fill="auto"/>
      </w:rPr>
    </w:lvl>
    <w:lvl w:ilvl="4" w:tplc="72000966">
      <w:start w:val="1"/>
      <w:numFmt w:val="bullet"/>
      <w:lvlText w:val="o"/>
      <w:lvlJc w:val="left"/>
      <w:pPr>
        <w:ind w:left="3600" w:hanging="360"/>
      </w:pPr>
      <w:rPr>
        <w:rFonts w:ascii="Courier New" w:eastAsia="Courier New" w:hAnsi="Courier New"/>
        <w:w w:val="100"/>
        <w:sz w:val="20"/>
        <w:szCs w:val="20"/>
        <w:shd w:val="clear" w:color="auto" w:fill="auto"/>
      </w:rPr>
    </w:lvl>
    <w:lvl w:ilvl="5" w:tplc="DDE2DF2A">
      <w:start w:val="1"/>
      <w:numFmt w:val="bullet"/>
      <w:lvlText w:val="§"/>
      <w:lvlJc w:val="left"/>
      <w:pPr>
        <w:ind w:left="4320" w:hanging="360"/>
      </w:pPr>
      <w:rPr>
        <w:rFonts w:ascii="Wingdings" w:eastAsia="Wingdings" w:hAnsi="Wingdings"/>
        <w:w w:val="100"/>
        <w:sz w:val="20"/>
        <w:szCs w:val="20"/>
        <w:shd w:val="clear" w:color="auto" w:fill="auto"/>
      </w:rPr>
    </w:lvl>
    <w:lvl w:ilvl="6" w:tplc="099846D0">
      <w:start w:val="1"/>
      <w:numFmt w:val="bullet"/>
      <w:lvlText w:val="·"/>
      <w:lvlJc w:val="left"/>
      <w:pPr>
        <w:ind w:left="5040" w:hanging="360"/>
      </w:pPr>
      <w:rPr>
        <w:rFonts w:ascii="Symbol" w:eastAsia="Symbol" w:hAnsi="Symbol"/>
        <w:w w:val="100"/>
        <w:sz w:val="20"/>
        <w:szCs w:val="20"/>
        <w:shd w:val="clear" w:color="auto" w:fill="auto"/>
      </w:rPr>
    </w:lvl>
    <w:lvl w:ilvl="7" w:tplc="13C84654">
      <w:start w:val="1"/>
      <w:numFmt w:val="bullet"/>
      <w:lvlText w:val="o"/>
      <w:lvlJc w:val="left"/>
      <w:pPr>
        <w:ind w:left="5760" w:hanging="360"/>
      </w:pPr>
      <w:rPr>
        <w:rFonts w:ascii="Courier New" w:eastAsia="Courier New" w:hAnsi="Courier New"/>
        <w:w w:val="100"/>
        <w:sz w:val="20"/>
        <w:szCs w:val="20"/>
        <w:shd w:val="clear" w:color="auto" w:fill="auto"/>
      </w:rPr>
    </w:lvl>
    <w:lvl w:ilvl="8" w:tplc="961056B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15:restartNumberingAfterBreak="0">
    <w:nsid w:val="00000003"/>
    <w:multiLevelType w:val="hybridMultilevel"/>
    <w:tmpl w:val="54E3CD19"/>
    <w:lvl w:ilvl="0" w:tplc="1D5217C8">
      <w:start w:val="1"/>
      <w:numFmt w:val="bullet"/>
      <w:lvlText w:val="·"/>
      <w:lvlJc w:val="left"/>
      <w:pPr>
        <w:ind w:left="720" w:hanging="360"/>
      </w:pPr>
      <w:rPr>
        <w:rFonts w:ascii="Symbol" w:eastAsia="Symbol" w:hAnsi="Symbol"/>
        <w:w w:val="100"/>
        <w:sz w:val="20"/>
        <w:szCs w:val="20"/>
        <w:shd w:val="clear" w:color="auto" w:fill="auto"/>
      </w:rPr>
    </w:lvl>
    <w:lvl w:ilvl="1" w:tplc="CAF26420">
      <w:start w:val="1"/>
      <w:numFmt w:val="bullet"/>
      <w:lvlText w:val="o"/>
      <w:lvlJc w:val="left"/>
      <w:pPr>
        <w:ind w:left="1440" w:hanging="360"/>
      </w:pPr>
      <w:rPr>
        <w:rFonts w:ascii="Courier New" w:eastAsia="Courier New" w:hAnsi="Courier New"/>
        <w:w w:val="100"/>
        <w:sz w:val="20"/>
        <w:szCs w:val="20"/>
        <w:shd w:val="clear" w:color="auto" w:fill="auto"/>
      </w:rPr>
    </w:lvl>
    <w:lvl w:ilvl="2" w:tplc="BCFC9BEA">
      <w:start w:val="1"/>
      <w:numFmt w:val="bullet"/>
      <w:lvlText w:val="§"/>
      <w:lvlJc w:val="left"/>
      <w:pPr>
        <w:ind w:left="2160" w:hanging="360"/>
      </w:pPr>
      <w:rPr>
        <w:rFonts w:ascii="Wingdings" w:eastAsia="Wingdings" w:hAnsi="Wingdings"/>
        <w:w w:val="100"/>
        <w:sz w:val="20"/>
        <w:szCs w:val="20"/>
        <w:shd w:val="clear" w:color="auto" w:fill="auto"/>
      </w:rPr>
    </w:lvl>
    <w:lvl w:ilvl="3" w:tplc="04BE4DFE">
      <w:start w:val="1"/>
      <w:numFmt w:val="bullet"/>
      <w:lvlText w:val="·"/>
      <w:lvlJc w:val="left"/>
      <w:pPr>
        <w:ind w:left="2880" w:hanging="360"/>
      </w:pPr>
      <w:rPr>
        <w:rFonts w:ascii="Symbol" w:eastAsia="Symbol" w:hAnsi="Symbol"/>
        <w:w w:val="100"/>
        <w:sz w:val="20"/>
        <w:szCs w:val="20"/>
        <w:shd w:val="clear" w:color="auto" w:fill="auto"/>
      </w:rPr>
    </w:lvl>
    <w:lvl w:ilvl="4" w:tplc="7EF4EE44">
      <w:start w:val="1"/>
      <w:numFmt w:val="bullet"/>
      <w:lvlText w:val="o"/>
      <w:lvlJc w:val="left"/>
      <w:pPr>
        <w:ind w:left="3600" w:hanging="360"/>
      </w:pPr>
      <w:rPr>
        <w:rFonts w:ascii="Courier New" w:eastAsia="Courier New" w:hAnsi="Courier New"/>
        <w:w w:val="100"/>
        <w:sz w:val="20"/>
        <w:szCs w:val="20"/>
        <w:shd w:val="clear" w:color="auto" w:fill="auto"/>
      </w:rPr>
    </w:lvl>
    <w:lvl w:ilvl="5" w:tplc="31E0E8D4">
      <w:start w:val="1"/>
      <w:numFmt w:val="bullet"/>
      <w:lvlText w:val="§"/>
      <w:lvlJc w:val="left"/>
      <w:pPr>
        <w:ind w:left="4320" w:hanging="360"/>
      </w:pPr>
      <w:rPr>
        <w:rFonts w:ascii="Wingdings" w:eastAsia="Wingdings" w:hAnsi="Wingdings"/>
        <w:w w:val="100"/>
        <w:sz w:val="20"/>
        <w:szCs w:val="20"/>
        <w:shd w:val="clear" w:color="auto" w:fill="auto"/>
      </w:rPr>
    </w:lvl>
    <w:lvl w:ilvl="6" w:tplc="8E2225F6">
      <w:start w:val="1"/>
      <w:numFmt w:val="bullet"/>
      <w:lvlText w:val="·"/>
      <w:lvlJc w:val="left"/>
      <w:pPr>
        <w:ind w:left="5040" w:hanging="360"/>
      </w:pPr>
      <w:rPr>
        <w:rFonts w:ascii="Symbol" w:eastAsia="Symbol" w:hAnsi="Symbol"/>
        <w:w w:val="100"/>
        <w:sz w:val="20"/>
        <w:szCs w:val="20"/>
        <w:shd w:val="clear" w:color="auto" w:fill="auto"/>
      </w:rPr>
    </w:lvl>
    <w:lvl w:ilvl="7" w:tplc="983EEE1C">
      <w:start w:val="1"/>
      <w:numFmt w:val="bullet"/>
      <w:lvlText w:val="o"/>
      <w:lvlJc w:val="left"/>
      <w:pPr>
        <w:ind w:left="5760" w:hanging="360"/>
      </w:pPr>
      <w:rPr>
        <w:rFonts w:ascii="Courier New" w:eastAsia="Courier New" w:hAnsi="Courier New"/>
        <w:w w:val="100"/>
        <w:sz w:val="20"/>
        <w:szCs w:val="20"/>
        <w:shd w:val="clear" w:color="auto" w:fill="auto"/>
      </w:rPr>
    </w:lvl>
    <w:lvl w:ilvl="8" w:tplc="547445B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 w15:restartNumberingAfterBreak="0">
    <w:nsid w:val="17752613"/>
    <w:multiLevelType w:val="hybridMultilevel"/>
    <w:tmpl w:val="4FF5DBA1"/>
    <w:lvl w:ilvl="0" w:tplc="90DCE506">
      <w:start w:val="1"/>
      <w:numFmt w:val="bullet"/>
      <w:lvlText w:val="v"/>
      <w:lvlJc w:val="left"/>
      <w:pPr>
        <w:ind w:left="360" w:hanging="360"/>
      </w:pPr>
      <w:rPr>
        <w:rFonts w:ascii="Wingdings" w:eastAsia="Wingdings" w:hAnsi="Wingdings"/>
        <w:w w:val="100"/>
        <w:sz w:val="24"/>
        <w:szCs w:val="24"/>
        <w:shd w:val="clear" w:color="auto" w:fill="auto"/>
      </w:rPr>
    </w:lvl>
    <w:lvl w:ilvl="1" w:tplc="A7B8EB52">
      <w:start w:val="1"/>
      <w:numFmt w:val="bullet"/>
      <w:lvlText w:val="o"/>
      <w:lvlJc w:val="left"/>
      <w:pPr>
        <w:ind w:left="1440" w:hanging="360"/>
      </w:pPr>
      <w:rPr>
        <w:rFonts w:ascii="Courier New" w:eastAsia="Courier New" w:hAnsi="Courier New"/>
        <w:w w:val="100"/>
        <w:sz w:val="20"/>
        <w:szCs w:val="20"/>
        <w:shd w:val="clear" w:color="auto" w:fill="auto"/>
      </w:rPr>
    </w:lvl>
    <w:lvl w:ilvl="2" w:tplc="2654D7C8">
      <w:start w:val="1"/>
      <w:numFmt w:val="bullet"/>
      <w:lvlText w:val="§"/>
      <w:lvlJc w:val="left"/>
      <w:pPr>
        <w:ind w:left="2160" w:hanging="360"/>
      </w:pPr>
      <w:rPr>
        <w:rFonts w:ascii="Wingdings" w:eastAsia="Wingdings" w:hAnsi="Wingdings"/>
        <w:w w:val="100"/>
        <w:sz w:val="20"/>
        <w:szCs w:val="20"/>
        <w:shd w:val="clear" w:color="auto" w:fill="auto"/>
      </w:rPr>
    </w:lvl>
    <w:lvl w:ilvl="3" w:tplc="B2305A22">
      <w:start w:val="1"/>
      <w:numFmt w:val="bullet"/>
      <w:lvlText w:val="·"/>
      <w:lvlJc w:val="left"/>
      <w:pPr>
        <w:ind w:left="2880" w:hanging="360"/>
      </w:pPr>
      <w:rPr>
        <w:rFonts w:ascii="Symbol" w:eastAsia="Symbol" w:hAnsi="Symbol"/>
        <w:w w:val="100"/>
        <w:sz w:val="20"/>
        <w:szCs w:val="20"/>
        <w:shd w:val="clear" w:color="auto" w:fill="auto"/>
      </w:rPr>
    </w:lvl>
    <w:lvl w:ilvl="4" w:tplc="38265F78">
      <w:start w:val="1"/>
      <w:numFmt w:val="bullet"/>
      <w:lvlText w:val="o"/>
      <w:lvlJc w:val="left"/>
      <w:pPr>
        <w:ind w:left="3600" w:hanging="360"/>
      </w:pPr>
      <w:rPr>
        <w:rFonts w:ascii="Courier New" w:eastAsia="Courier New" w:hAnsi="Courier New"/>
        <w:w w:val="100"/>
        <w:sz w:val="20"/>
        <w:szCs w:val="20"/>
        <w:shd w:val="clear" w:color="auto" w:fill="auto"/>
      </w:rPr>
    </w:lvl>
    <w:lvl w:ilvl="5" w:tplc="FA485A88">
      <w:start w:val="1"/>
      <w:numFmt w:val="bullet"/>
      <w:lvlText w:val="§"/>
      <w:lvlJc w:val="left"/>
      <w:pPr>
        <w:ind w:left="4320" w:hanging="360"/>
      </w:pPr>
      <w:rPr>
        <w:rFonts w:ascii="Wingdings" w:eastAsia="Wingdings" w:hAnsi="Wingdings"/>
        <w:w w:val="100"/>
        <w:sz w:val="20"/>
        <w:szCs w:val="20"/>
        <w:shd w:val="clear" w:color="auto" w:fill="auto"/>
      </w:rPr>
    </w:lvl>
    <w:lvl w:ilvl="6" w:tplc="6E7CFA4C">
      <w:start w:val="1"/>
      <w:numFmt w:val="bullet"/>
      <w:lvlText w:val="·"/>
      <w:lvlJc w:val="left"/>
      <w:pPr>
        <w:ind w:left="5040" w:hanging="360"/>
      </w:pPr>
      <w:rPr>
        <w:rFonts w:ascii="Symbol" w:eastAsia="Symbol" w:hAnsi="Symbol"/>
        <w:w w:val="100"/>
        <w:sz w:val="20"/>
        <w:szCs w:val="20"/>
        <w:shd w:val="clear" w:color="auto" w:fill="auto"/>
      </w:rPr>
    </w:lvl>
    <w:lvl w:ilvl="7" w:tplc="C71ADBA0">
      <w:start w:val="1"/>
      <w:numFmt w:val="bullet"/>
      <w:lvlText w:val="o"/>
      <w:lvlJc w:val="left"/>
      <w:pPr>
        <w:ind w:left="5760" w:hanging="360"/>
      </w:pPr>
      <w:rPr>
        <w:rFonts w:ascii="Courier New" w:eastAsia="Courier New" w:hAnsi="Courier New"/>
        <w:w w:val="100"/>
        <w:sz w:val="20"/>
        <w:szCs w:val="20"/>
        <w:shd w:val="clear" w:color="auto" w:fill="auto"/>
      </w:rPr>
    </w:lvl>
    <w:lvl w:ilvl="8" w:tplc="0EB8F6A0">
      <w:start w:val="1"/>
      <w:numFmt w:val="bullet"/>
      <w:lvlText w:val="§"/>
      <w:lvlJc w:val="left"/>
      <w:pPr>
        <w:ind w:left="6480" w:hanging="360"/>
      </w:pPr>
      <w:rPr>
        <w:rFonts w:ascii="Wingdings" w:eastAsia="Wingdings" w:hAnsi="Wingdings"/>
        <w:w w:val="100"/>
        <w:sz w:val="20"/>
        <w:szCs w:val="20"/>
        <w:shd w:val="clear" w:color="auto" w:fill="auto"/>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defaultTabStop w:val="708"/>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C3"/>
    <w:rsid w:val="0000651C"/>
    <w:rsid w:val="0001507C"/>
    <w:rsid w:val="00045821"/>
    <w:rsid w:val="000614B4"/>
    <w:rsid w:val="000A4E45"/>
    <w:rsid w:val="000C247F"/>
    <w:rsid w:val="000E2FE8"/>
    <w:rsid w:val="0010333C"/>
    <w:rsid w:val="00165165"/>
    <w:rsid w:val="001D70BA"/>
    <w:rsid w:val="002152F4"/>
    <w:rsid w:val="002731EE"/>
    <w:rsid w:val="00283A6A"/>
    <w:rsid w:val="00285D9E"/>
    <w:rsid w:val="002C67EA"/>
    <w:rsid w:val="003B0D0C"/>
    <w:rsid w:val="003C2EC2"/>
    <w:rsid w:val="00470538"/>
    <w:rsid w:val="004E299A"/>
    <w:rsid w:val="00556FC3"/>
    <w:rsid w:val="00574AFD"/>
    <w:rsid w:val="005877BD"/>
    <w:rsid w:val="005D13CD"/>
    <w:rsid w:val="005D4B1C"/>
    <w:rsid w:val="00606559"/>
    <w:rsid w:val="00644ADC"/>
    <w:rsid w:val="00652160"/>
    <w:rsid w:val="00660F80"/>
    <w:rsid w:val="006B252F"/>
    <w:rsid w:val="006D019F"/>
    <w:rsid w:val="006D3584"/>
    <w:rsid w:val="006D40FD"/>
    <w:rsid w:val="006D6153"/>
    <w:rsid w:val="00721C74"/>
    <w:rsid w:val="00736535"/>
    <w:rsid w:val="00765C19"/>
    <w:rsid w:val="007711FD"/>
    <w:rsid w:val="00776C5F"/>
    <w:rsid w:val="007C0B71"/>
    <w:rsid w:val="007C42D5"/>
    <w:rsid w:val="00816840"/>
    <w:rsid w:val="008951CE"/>
    <w:rsid w:val="00932A92"/>
    <w:rsid w:val="00936756"/>
    <w:rsid w:val="0097537C"/>
    <w:rsid w:val="00A13886"/>
    <w:rsid w:val="00A8058A"/>
    <w:rsid w:val="00BB071B"/>
    <w:rsid w:val="00BC0E3E"/>
    <w:rsid w:val="00BC3493"/>
    <w:rsid w:val="00BC6D6B"/>
    <w:rsid w:val="00BF3389"/>
    <w:rsid w:val="00C073F7"/>
    <w:rsid w:val="00C14F93"/>
    <w:rsid w:val="00C63288"/>
    <w:rsid w:val="00C96DD3"/>
    <w:rsid w:val="00CA1A6E"/>
    <w:rsid w:val="00CB1AF8"/>
    <w:rsid w:val="00CC3C88"/>
    <w:rsid w:val="00D10842"/>
    <w:rsid w:val="00D469DA"/>
    <w:rsid w:val="00DA2FE5"/>
    <w:rsid w:val="00DF1C5E"/>
    <w:rsid w:val="00E3531C"/>
    <w:rsid w:val="00E65389"/>
    <w:rsid w:val="00E67D4B"/>
    <w:rsid w:val="00E87F25"/>
    <w:rsid w:val="00EB0CF5"/>
    <w:rsid w:val="00EE1688"/>
    <w:rsid w:val="00EF4386"/>
    <w:rsid w:val="00F4134F"/>
    <w:rsid w:val="00F64132"/>
    <w:rsid w:val="00F86B15"/>
    <w:rsid w:val="00FB3A34"/>
    <w:rsid w:val="00FC1CB7"/>
    <w:rsid w:val="00FC69A5"/>
    <w:rsid w:val="00FE35ED"/>
  </w:rsids>
  <m:mathPr>
    <m:mathFont m:val="Cambria Math"/>
    <m:brkBin m:val="before"/>
    <m:brkBinSub m:val="--"/>
    <m:smallFrac/>
    <m:dispDef/>
    <m:lMargin m:val="1440"/>
    <m:rMargin m:val="144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E4C31F-5ED6-40A8-9F5D-334DD353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s-HN" w:eastAsia="es-HN"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14B4"/>
    <w:rPr>
      <w:sz w:val="20"/>
      <w:szCs w:val="20"/>
    </w:rPr>
  </w:style>
  <w:style w:type="paragraph" w:styleId="Ttulo1">
    <w:name w:val="heading 1"/>
    <w:basedOn w:val="Normal"/>
    <w:next w:val="Normal"/>
    <w:link w:val="Ttulo1Car"/>
    <w:uiPriority w:val="7"/>
    <w:qFormat/>
    <w:rsid w:val="000614B4"/>
    <w:pPr>
      <w:keepNext/>
      <w:keepLines/>
      <w:outlineLvl w:val="0"/>
    </w:pPr>
    <w:rPr>
      <w:rFonts w:eastAsia="Arial"/>
      <w:b/>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7"/>
    <w:qFormat/>
    <w:rsid w:val="000614B4"/>
    <w:rPr>
      <w:i/>
      <w:color w:val="808080" w:themeColor="text1" w:themeTint="7F"/>
      <w:w w:val="100"/>
      <w:sz w:val="20"/>
      <w:szCs w:val="20"/>
      <w:shd w:val="clear" w:color="auto" w:fill="auto"/>
    </w:rPr>
  </w:style>
  <w:style w:type="character" w:styleId="Referenciaintensa">
    <w:name w:val="Intense Reference"/>
    <w:basedOn w:val="Fuentedeprrafopredeter"/>
    <w:uiPriority w:val="24"/>
    <w:qFormat/>
    <w:rsid w:val="000614B4"/>
    <w:rPr>
      <w:b/>
      <w:smallCaps/>
      <w:color w:val="C0504D" w:themeColor="accent2"/>
      <w:spacing w:val="5"/>
      <w:w w:val="100"/>
      <w:sz w:val="20"/>
      <w:szCs w:val="20"/>
      <w:u w:val="single"/>
      <w:shd w:val="clear" w:color="auto" w:fill="auto"/>
    </w:rPr>
  </w:style>
  <w:style w:type="paragraph" w:styleId="Prrafodelista">
    <w:name w:val="List Paragraph"/>
    <w:basedOn w:val="Normal"/>
    <w:uiPriority w:val="26"/>
    <w:qFormat/>
    <w:rsid w:val="000614B4"/>
    <w:rPr>
      <w:rFonts w:ascii="Calibri" w:eastAsia="Calibri" w:hAnsi="Calibri"/>
      <w:sz w:val="22"/>
      <w:szCs w:val="22"/>
    </w:rPr>
  </w:style>
  <w:style w:type="paragraph" w:styleId="Textodeglobo">
    <w:name w:val="Balloon Text"/>
    <w:basedOn w:val="Normal"/>
    <w:link w:val="TextodegloboCar"/>
    <w:semiHidden/>
    <w:unhideWhenUsed/>
    <w:rsid w:val="000614B4"/>
    <w:rPr>
      <w:rFonts w:ascii="Tahoma" w:eastAsia="Tahoma" w:hAnsi="Tahoma"/>
      <w:sz w:val="16"/>
      <w:szCs w:val="16"/>
    </w:rPr>
  </w:style>
  <w:style w:type="character" w:customStyle="1" w:styleId="TextodegloboCar">
    <w:name w:val="Texto de globo Car"/>
    <w:basedOn w:val="Fuentedeprrafopredeter"/>
    <w:link w:val="Textodeglobo"/>
    <w:semiHidden/>
    <w:rsid w:val="000614B4"/>
    <w:rPr>
      <w:rFonts w:ascii="Tahoma" w:eastAsia="Tahoma" w:hAnsi="Tahoma"/>
      <w:w w:val="100"/>
      <w:sz w:val="16"/>
      <w:szCs w:val="16"/>
      <w:shd w:val="clear" w:color="auto" w:fill="auto"/>
    </w:rPr>
  </w:style>
  <w:style w:type="paragraph" w:styleId="Textonotapie">
    <w:name w:val="footnote text"/>
    <w:basedOn w:val="Normal"/>
    <w:link w:val="TextonotapieCar"/>
    <w:unhideWhenUsed/>
    <w:rsid w:val="000614B4"/>
  </w:style>
  <w:style w:type="character" w:customStyle="1" w:styleId="TextonotapieCar">
    <w:name w:val="Texto nota pie Car"/>
    <w:basedOn w:val="Fuentedeprrafopredeter"/>
    <w:link w:val="Textonotapie"/>
    <w:rsid w:val="000614B4"/>
    <w:rPr>
      <w:w w:val="100"/>
      <w:sz w:val="20"/>
      <w:szCs w:val="20"/>
      <w:shd w:val="clear" w:color="auto" w:fill="auto"/>
    </w:rPr>
  </w:style>
  <w:style w:type="character" w:styleId="Refdenotaalpie">
    <w:name w:val="footnote reference"/>
    <w:basedOn w:val="Fuentedeprrafopredeter"/>
    <w:uiPriority w:val="99"/>
    <w:semiHidden/>
    <w:unhideWhenUsed/>
    <w:rsid w:val="000614B4"/>
    <w:rPr>
      <w:w w:val="100"/>
      <w:sz w:val="20"/>
      <w:szCs w:val="20"/>
      <w:shd w:val="clear" w:color="auto" w:fill="auto"/>
      <w:vertAlign w:val="superscript"/>
    </w:rPr>
  </w:style>
  <w:style w:type="paragraph" w:styleId="NormalWeb">
    <w:name w:val="Normal (Web)"/>
    <w:basedOn w:val="Normal"/>
    <w:semiHidden/>
    <w:unhideWhenUsed/>
    <w:rsid w:val="000614B4"/>
    <w:rPr>
      <w:rFonts w:ascii="Times New Roman" w:hAnsi="Times New Roman"/>
    </w:rPr>
  </w:style>
  <w:style w:type="character" w:customStyle="1" w:styleId="a2">
    <w:name w:val="a2"/>
    <w:basedOn w:val="Fuentedeprrafopredeter"/>
    <w:rsid w:val="000614B4"/>
  </w:style>
  <w:style w:type="character" w:customStyle="1" w:styleId="apple-converted-space">
    <w:name w:val="apple-converted-space"/>
    <w:basedOn w:val="Fuentedeprrafopredeter"/>
    <w:rsid w:val="000614B4"/>
  </w:style>
  <w:style w:type="paragraph" w:styleId="Encabezado">
    <w:name w:val="header"/>
    <w:basedOn w:val="Normal"/>
    <w:link w:val="EncabezadoCar"/>
    <w:semiHidden/>
    <w:unhideWhenUsed/>
    <w:rsid w:val="000614B4"/>
    <w:pPr>
      <w:tabs>
        <w:tab w:val="center" w:pos="4252"/>
        <w:tab w:val="right" w:pos="8504"/>
      </w:tabs>
    </w:pPr>
  </w:style>
  <w:style w:type="character" w:customStyle="1" w:styleId="EncabezadoCar">
    <w:name w:val="Encabezado Car"/>
    <w:basedOn w:val="Fuentedeprrafopredeter"/>
    <w:link w:val="Encabezado"/>
    <w:semiHidden/>
    <w:rsid w:val="000614B4"/>
    <w:rPr>
      <w:w w:val="100"/>
      <w:sz w:val="20"/>
      <w:szCs w:val="20"/>
      <w:shd w:val="clear" w:color="auto" w:fill="auto"/>
    </w:rPr>
  </w:style>
  <w:style w:type="paragraph" w:styleId="Piedepgina">
    <w:name w:val="footer"/>
    <w:basedOn w:val="Normal"/>
    <w:link w:val="PiedepginaCar"/>
    <w:unhideWhenUsed/>
    <w:rsid w:val="000614B4"/>
    <w:pPr>
      <w:tabs>
        <w:tab w:val="center" w:pos="4252"/>
        <w:tab w:val="right" w:pos="8504"/>
      </w:tabs>
    </w:pPr>
  </w:style>
  <w:style w:type="character" w:customStyle="1" w:styleId="PiedepginaCar">
    <w:name w:val="Pie de página Car"/>
    <w:basedOn w:val="Fuentedeprrafopredeter"/>
    <w:link w:val="Piedepgina"/>
    <w:rsid w:val="000614B4"/>
    <w:rPr>
      <w:w w:val="100"/>
      <w:sz w:val="20"/>
      <w:szCs w:val="20"/>
      <w:shd w:val="clear" w:color="auto" w:fill="auto"/>
    </w:rPr>
  </w:style>
  <w:style w:type="character" w:customStyle="1" w:styleId="Ttulo1Car">
    <w:name w:val="Título 1 Car"/>
    <w:basedOn w:val="Fuentedeprrafopredeter"/>
    <w:link w:val="Ttulo1"/>
    <w:rsid w:val="000614B4"/>
    <w:rPr>
      <w:rFonts w:ascii="Arial" w:eastAsia="Arial" w:hAnsi="Arial"/>
      <w:b/>
      <w:color w:val="365F91" w:themeColor="accent1" w:themeShade="BF"/>
      <w:w w:val="100"/>
      <w:sz w:val="28"/>
      <w:szCs w:val="28"/>
      <w:shd w:val="clear" w:color="auto" w:fill="auto"/>
    </w:rPr>
  </w:style>
  <w:style w:type="paragraph" w:styleId="Bibliografa">
    <w:name w:val="Bibliography"/>
    <w:basedOn w:val="Normal"/>
    <w:next w:val="Normal"/>
    <w:unhideWhenUsed/>
    <w:rsid w:val="000614B4"/>
  </w:style>
  <w:style w:type="character" w:styleId="Hipervnculo">
    <w:name w:val="Hyperlink"/>
    <w:basedOn w:val="Fuentedeprrafopredeter"/>
    <w:unhideWhenUsed/>
    <w:rsid w:val="000614B4"/>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niseduardoramirez@gmail.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culturaspopulares.org/textos%20I-1/articulos/Valvassori.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ssuu.com/conservamospornaturaleza/docs/la_esperanza_es_ver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B254-30F9-49FE-B916-603930DA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4342</Words>
  <Characters>23881</Characters>
  <Application>Microsoft Office Word</Application>
  <DocSecurity>0</DocSecurity>
  <Lines>199</Lines>
  <Paragraphs>56</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Archivo Nacional de Honduras</dc:creator>
  <cp:lastModifiedBy>User</cp:lastModifiedBy>
  <cp:revision>2</cp:revision>
  <dcterms:created xsi:type="dcterms:W3CDTF">2017-09-30T13:50:00Z</dcterms:created>
  <dcterms:modified xsi:type="dcterms:W3CDTF">2017-09-30T13:50:00Z</dcterms:modified>
</cp:coreProperties>
</file>